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9AF" w:rsidRPr="00AC48F9" w:rsidRDefault="007C39AF" w:rsidP="00AC48F9">
      <w:pPr>
        <w:pStyle w:val="Textoindependiente"/>
        <w:widowControl w:val="0"/>
        <w:tabs>
          <w:tab w:val="left" w:pos="2410"/>
          <w:tab w:val="left" w:pos="3544"/>
          <w:tab w:val="left" w:pos="6096"/>
          <w:tab w:val="left" w:pos="6946"/>
        </w:tabs>
        <w:suppressAutoHyphens/>
        <w:spacing w:after="0" w:line="240" w:lineRule="auto"/>
        <w:ind w:left="3544" w:right="2551" w:hanging="992"/>
        <w:jc w:val="both"/>
        <w:rPr>
          <w:rFonts w:ascii="Tahoma" w:hAnsi="Tahoma" w:cs="Tahoma"/>
          <w:i/>
          <w:sz w:val="20"/>
          <w:szCs w:val="20"/>
          <w:lang w:val="es-PE"/>
        </w:rPr>
      </w:pPr>
      <w:r w:rsidRPr="00AC48F9">
        <w:rPr>
          <w:rFonts w:ascii="Tahoma" w:hAnsi="Tahoma" w:cs="Tahoma"/>
          <w:b/>
          <w:i/>
          <w:sz w:val="20"/>
          <w:szCs w:val="20"/>
        </w:rPr>
        <w:t xml:space="preserve">Sumilla: </w:t>
      </w:r>
      <w:r w:rsidRPr="00AC48F9">
        <w:rPr>
          <w:rFonts w:ascii="Tahoma" w:hAnsi="Tahoma" w:cs="Tahoma"/>
          <w:i/>
          <w:sz w:val="20"/>
          <w:szCs w:val="20"/>
        </w:rPr>
        <w:t>Para la configuración del supuesto de presentación de documentación falsa, se requiere acreditar la falsedad, esto es que el documento cuestionado no haya sido válidamente expedido por el órgano o agente emisor o que, siendo válidamente expedido, haya sido adulterado en su contenido.</w:t>
      </w:r>
    </w:p>
    <w:p w:rsidR="007C39AF" w:rsidRPr="00AC48F9" w:rsidRDefault="007C39AF" w:rsidP="007C39AF">
      <w:pPr>
        <w:pStyle w:val="Textoindependiente3"/>
        <w:spacing w:after="0"/>
        <w:ind w:left="4248" w:right="179" w:firstLine="708"/>
        <w:jc w:val="both"/>
        <w:rPr>
          <w:rFonts w:ascii="Tahoma" w:hAnsi="Tahoma" w:cs="Tahoma"/>
          <w:b/>
          <w:sz w:val="20"/>
          <w:szCs w:val="20"/>
        </w:rPr>
      </w:pPr>
    </w:p>
    <w:p w:rsidR="007C39AF" w:rsidRPr="00AC48F9" w:rsidRDefault="007C39AF" w:rsidP="007C39AF">
      <w:pPr>
        <w:pStyle w:val="Textoindependiente3"/>
        <w:spacing w:after="0"/>
        <w:ind w:left="4248" w:right="179" w:firstLine="708"/>
        <w:jc w:val="both"/>
        <w:rPr>
          <w:rFonts w:ascii="Tahoma" w:hAnsi="Tahoma" w:cs="Tahoma"/>
          <w:sz w:val="20"/>
          <w:szCs w:val="20"/>
        </w:rPr>
      </w:pPr>
      <w:r w:rsidRPr="00AC48F9">
        <w:rPr>
          <w:rFonts w:ascii="Tahoma" w:hAnsi="Tahoma" w:cs="Tahoma"/>
          <w:b/>
          <w:sz w:val="20"/>
          <w:szCs w:val="20"/>
        </w:rPr>
        <w:t>Lima</w:t>
      </w:r>
      <w:r w:rsidRPr="00AC48F9">
        <w:rPr>
          <w:rFonts w:ascii="Tahoma" w:hAnsi="Tahoma" w:cs="Tahoma"/>
          <w:sz w:val="20"/>
          <w:szCs w:val="20"/>
        </w:rPr>
        <w:t xml:space="preserve">, </w:t>
      </w:r>
      <w:r w:rsidR="00927180">
        <w:rPr>
          <w:rFonts w:ascii="Tahoma" w:hAnsi="Tahoma" w:cs="Tahoma"/>
          <w:sz w:val="20"/>
          <w:szCs w:val="20"/>
        </w:rPr>
        <w:t>08 de Junio de 2011</w:t>
      </w:r>
    </w:p>
    <w:p w:rsidR="007C39AF" w:rsidRPr="00AC48F9" w:rsidRDefault="007C39AF" w:rsidP="007C39AF">
      <w:pPr>
        <w:pStyle w:val="Textoindependiente3"/>
        <w:spacing w:after="0"/>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20"/>
          <w:szCs w:val="20"/>
        </w:rPr>
      </w:pPr>
      <w:r w:rsidRPr="00AC48F9">
        <w:rPr>
          <w:rFonts w:ascii="Tahoma" w:hAnsi="Tahoma" w:cs="Tahoma"/>
          <w:b/>
          <w:sz w:val="20"/>
          <w:szCs w:val="20"/>
        </w:rPr>
        <w:t>VISTO</w:t>
      </w:r>
      <w:r w:rsidRPr="00AC48F9">
        <w:rPr>
          <w:rFonts w:ascii="Tahoma" w:hAnsi="Tahoma" w:cs="Tahoma"/>
          <w:sz w:val="20"/>
          <w:szCs w:val="20"/>
        </w:rPr>
        <w:t xml:space="preserve"> en sesión de fecha 07 de junio de 2011 de la Primera Sala del Tribunal de Contrataciones del Estado el Expediente № </w:t>
      </w:r>
      <w:r w:rsidR="00AC48F9" w:rsidRPr="00AC48F9">
        <w:rPr>
          <w:rFonts w:ascii="Tahoma" w:hAnsi="Tahoma" w:cs="Tahoma"/>
          <w:sz w:val="20"/>
          <w:szCs w:val="20"/>
        </w:rPr>
        <w:t>403</w:t>
      </w:r>
      <w:r w:rsidRPr="00AC48F9">
        <w:rPr>
          <w:rFonts w:ascii="Tahoma" w:hAnsi="Tahoma" w:cs="Tahoma"/>
          <w:sz w:val="20"/>
          <w:szCs w:val="20"/>
        </w:rPr>
        <w:t>/201</w:t>
      </w:r>
      <w:r w:rsidR="00AC48F9" w:rsidRPr="00AC48F9">
        <w:rPr>
          <w:rFonts w:ascii="Tahoma" w:hAnsi="Tahoma" w:cs="Tahoma"/>
          <w:sz w:val="20"/>
          <w:szCs w:val="20"/>
        </w:rPr>
        <w:t>1</w:t>
      </w:r>
      <w:r w:rsidRPr="00AC48F9">
        <w:rPr>
          <w:rFonts w:ascii="Tahoma" w:hAnsi="Tahoma" w:cs="Tahoma"/>
          <w:sz w:val="20"/>
          <w:szCs w:val="20"/>
        </w:rPr>
        <w:t xml:space="preserve">.TC, sobre el procedimiento administrativo sancionador contra la empresa </w:t>
      </w:r>
      <w:r w:rsidR="00AC48F9" w:rsidRPr="00AC48F9">
        <w:rPr>
          <w:rFonts w:ascii="Tahoma" w:hAnsi="Tahoma" w:cs="Tahoma"/>
          <w:sz w:val="20"/>
          <w:szCs w:val="20"/>
          <w:lang w:val="es-PE"/>
        </w:rPr>
        <w:t>AGENCIA DE VIAJES Y SERVICIOS ANDESMAR E.I.R.L.</w:t>
      </w:r>
      <w:r w:rsidRPr="00AC48F9">
        <w:rPr>
          <w:rFonts w:ascii="Tahoma" w:hAnsi="Tahoma" w:cs="Tahoma"/>
          <w:sz w:val="20"/>
          <w:szCs w:val="20"/>
        </w:rPr>
        <w:t xml:space="preserve">, </w:t>
      </w:r>
      <w:r w:rsidRPr="00AC48F9">
        <w:rPr>
          <w:rFonts w:ascii="Tahoma" w:hAnsi="Tahoma" w:cs="Tahoma"/>
          <w:sz w:val="20"/>
          <w:szCs w:val="20"/>
          <w:lang w:val="es-MX"/>
        </w:rPr>
        <w:t xml:space="preserve">por supuesta responsabilidad en haber presentado documentos falsos y/o inexactos durante su </w:t>
      </w:r>
      <w:r w:rsidR="00AC48F9" w:rsidRPr="00AC48F9">
        <w:rPr>
          <w:rFonts w:ascii="Tahoma" w:hAnsi="Tahoma" w:cs="Tahoma"/>
          <w:sz w:val="20"/>
          <w:szCs w:val="20"/>
          <w:lang w:val="es-MX"/>
        </w:rPr>
        <w:t xml:space="preserve">trámite de renovación de inscripción </w:t>
      </w:r>
      <w:r w:rsidR="00AC48F9" w:rsidRPr="00AC48F9">
        <w:rPr>
          <w:rFonts w:ascii="Tahoma" w:hAnsi="Tahoma" w:cs="Tahoma"/>
          <w:sz w:val="20"/>
          <w:szCs w:val="20"/>
          <w:lang w:val="es-PE"/>
        </w:rPr>
        <w:t>en el capítulo de Bienes y Servicios del Registro Nacional de Proveedores; y</w:t>
      </w:r>
      <w:r w:rsidRPr="00AC48F9">
        <w:rPr>
          <w:rFonts w:ascii="Tahoma" w:hAnsi="Tahoma" w:cs="Tahoma"/>
          <w:sz w:val="20"/>
          <w:szCs w:val="20"/>
        </w:rPr>
        <w:t xml:space="preserve">, atendiendo a los siguientes:   </w:t>
      </w:r>
    </w:p>
    <w:p w:rsidR="007C39AF" w:rsidRPr="00AC48F9" w:rsidRDefault="007C39AF" w:rsidP="007C39AF">
      <w:pPr>
        <w:spacing w:after="0" w:line="240" w:lineRule="auto"/>
        <w:ind w:right="45"/>
        <w:jc w:val="both"/>
        <w:rPr>
          <w:rFonts w:ascii="Tahoma" w:hAnsi="Tahoma" w:cs="Tahoma"/>
          <w:sz w:val="20"/>
          <w:szCs w:val="20"/>
        </w:rPr>
      </w:pPr>
    </w:p>
    <w:p w:rsidR="007C39AF" w:rsidRPr="00AC48F9" w:rsidRDefault="007C39AF" w:rsidP="007C39AF">
      <w:pPr>
        <w:pStyle w:val="Ttulo2"/>
        <w:jc w:val="both"/>
        <w:rPr>
          <w:rFonts w:cs="Tahoma"/>
          <w:sz w:val="20"/>
        </w:rPr>
      </w:pPr>
      <w:r w:rsidRPr="00AC48F9">
        <w:rPr>
          <w:rFonts w:cs="Tahoma"/>
          <w:sz w:val="20"/>
        </w:rPr>
        <w:t>ANTECEDENTES:</w:t>
      </w:r>
    </w:p>
    <w:p w:rsidR="007C39AF" w:rsidRPr="00AC48F9" w:rsidRDefault="007C39AF" w:rsidP="007C39AF">
      <w:pPr>
        <w:pStyle w:val="NormalWeb"/>
        <w:tabs>
          <w:tab w:val="num" w:pos="900"/>
        </w:tabs>
        <w:spacing w:before="0" w:beforeAutospacing="0" w:after="0" w:afterAutospacing="0"/>
        <w:ind w:left="360"/>
        <w:jc w:val="both"/>
        <w:rPr>
          <w:rFonts w:ascii="Tahoma" w:hAnsi="Tahoma" w:cs="Tahoma"/>
          <w:sz w:val="20"/>
          <w:szCs w:val="20"/>
          <w:lang w:val="es-PE"/>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lang w:val="es-PE"/>
        </w:rPr>
      </w:pPr>
      <w:r w:rsidRPr="00AC48F9">
        <w:rPr>
          <w:rFonts w:ascii="Tahoma" w:hAnsi="Tahoma" w:cs="Tahoma"/>
          <w:sz w:val="20"/>
          <w:szCs w:val="20"/>
          <w:lang w:val="es-PE"/>
        </w:rPr>
        <w:t xml:space="preserve">El 24 de abril de 2008, la AGENCIA DE VIAJES Y SERVICIOS ANDESMAR E.I.R.L., en adelante el Proveedor, realizó el pago de la tasa correspondiente a efectos de renovar su inscripción en el capítulo de Bienes y Servicios del Registro Nacional de Proveedores. </w:t>
      </w:r>
    </w:p>
    <w:p w:rsidR="007C39AF" w:rsidRPr="00AC48F9" w:rsidRDefault="007C39AF" w:rsidP="007C39AF">
      <w:pPr>
        <w:pStyle w:val="NormalWeb"/>
        <w:tabs>
          <w:tab w:val="num" w:pos="900"/>
        </w:tabs>
        <w:spacing w:before="0" w:beforeAutospacing="0" w:after="0" w:afterAutospacing="0"/>
        <w:jc w:val="both"/>
        <w:rPr>
          <w:rFonts w:ascii="Tahoma" w:hAnsi="Tahoma" w:cs="Tahoma"/>
          <w:sz w:val="20"/>
          <w:szCs w:val="20"/>
          <w:lang w:val="es-PE"/>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lang w:val="es-PE"/>
        </w:rPr>
      </w:pPr>
      <w:r w:rsidRPr="00AC48F9">
        <w:rPr>
          <w:rFonts w:ascii="Tahoma" w:hAnsi="Tahoma" w:cs="Tahoma"/>
          <w:sz w:val="20"/>
          <w:szCs w:val="20"/>
          <w:lang w:val="es-PE"/>
        </w:rPr>
        <w:t>El 28 de abril de 2008, se obtuvo la renovación de inscripción automática, en los capítulos de bienes y servicios del R.N.P. con registros números B0051098 y S0189999, con vigencia hasta el 28 de abril de 2009.</w:t>
      </w:r>
    </w:p>
    <w:p w:rsidR="007C39AF" w:rsidRPr="00AC48F9" w:rsidRDefault="007C39AF" w:rsidP="007C39AF">
      <w:pPr>
        <w:pStyle w:val="Prrafodelista"/>
        <w:rPr>
          <w:rFonts w:ascii="Tahoma" w:hAnsi="Tahoma" w:cs="Tahoma"/>
          <w:sz w:val="20"/>
          <w:lang w:val="es-PE"/>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lang w:val="es-PE"/>
        </w:rPr>
      </w:pPr>
      <w:r w:rsidRPr="00AC48F9">
        <w:rPr>
          <w:rFonts w:ascii="Tahoma" w:hAnsi="Tahoma" w:cs="Tahoma"/>
          <w:sz w:val="20"/>
          <w:szCs w:val="20"/>
          <w:lang w:val="es-PE"/>
        </w:rPr>
        <w:t>El 07 de julio de 2008, el Proveedor presentó los requisitos necesarios para la renovación de inscripción como Proveedor de Bienes y Servicios, a efectos de formalizar su trámite. En dicha oportunidad se presentó la Licencia de Apertura de Establecimientos Nº 0265 de fecha 01 de junio de 2007.</w:t>
      </w:r>
    </w:p>
    <w:p w:rsidR="007C39AF" w:rsidRPr="00AC48F9" w:rsidRDefault="007C39AF" w:rsidP="007C39AF">
      <w:pPr>
        <w:pStyle w:val="Prrafodelista"/>
        <w:rPr>
          <w:rFonts w:ascii="Tahoma" w:hAnsi="Tahoma" w:cs="Tahoma"/>
          <w:sz w:val="20"/>
          <w:lang w:val="es-PE"/>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De conformidad con lo establecido en el artículo 32º de la Ley 27444- Ley de Procedimiento Administrativo General, la Subdirección del Registro Nacional de Proveedores dispuso iniciar la fiscalización posterior a la documentación presentada por el Proveedor.</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 xml:space="preserve">Mediante Oficios Nros 257-2009-OSCE-DSFE/SF.GF de fecha 19 de marzo de 2009 y notificado el 30 de marzo del mismo año, la Dirección de Supervisión, Fiscalización  y Estudios, solicitó a la Municipalidad Provincial de Mariscal Nieto brinde su conformidad a </w:t>
      </w:r>
      <w:r w:rsidRPr="00AC48F9">
        <w:rPr>
          <w:rFonts w:ascii="Tahoma" w:hAnsi="Tahoma" w:cs="Tahoma"/>
          <w:sz w:val="20"/>
          <w:szCs w:val="20"/>
          <w:lang w:val="es-PE"/>
        </w:rPr>
        <w:t>la Licencia de Apertura de Establecimientos Nº 0265 de fecha 01 de junio de 2007.</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Con Oficio Nº 5914-2009-OSCE-DSF/SFIS.J de fecha 30 de diciembre de 2009 y notificado el 08 de enero de 2010, se le reiteró a la Municipalidad Provincial de Mariscal Nieto la remisión de la información solicitada.</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lastRenderedPageBreak/>
        <w:t>El 19 de enero de 2010, la Municipalidad de Mariscal Nieto remitió el Informe  Nº 017-2010-AL-SGAC-GSC-MPMN en el que señaló que el documento cuestionado ha sido adulterado, sin referirse expresamente a la Licencia de Funcionamiento Nº 0265.</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Con Oficio Nº 969-2010-OSCE-DSF/SFI, de fecha 19 de febrero de 2010, y notificado el 25 del mismo mes y año, se indicó a la Municipalidad que tenga a bien reiterar a quien corresponda que, en función a la evaluación del sello, firma y nombre del funcionario que figuran en el documentos materia de fiscalización, informe si este ha sido expedido por su entidad edil a favor de la mencionada empresa, debiendo concluir de forma expresa si se trata de un documento verdadero, falso o adulterado.</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i/>
          <w:iCs/>
          <w:sz w:val="20"/>
          <w:szCs w:val="20"/>
        </w:rPr>
      </w:pPr>
      <w:r w:rsidRPr="00AC48F9">
        <w:rPr>
          <w:rFonts w:ascii="Tahoma" w:hAnsi="Tahoma" w:cs="Tahoma"/>
          <w:sz w:val="20"/>
          <w:szCs w:val="20"/>
        </w:rPr>
        <w:t>Mediante Carta Nº 013-2010/GSC/MPMN de fecha 03 de marzo de 2010, recibido el 05 del mismo mes y año, la Municipalidad Provincial de Mariscal Nieto remitió el Informe Nº 019-2010-S-SSGRT-GAT-MPMN de fecha 01 de marzo de 2010, en el cual se indicó que la Licencia de Funcionamiento Nº 0265 de fecha 01 de junio de 2007, ha sido adulterada.</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tabs>
          <w:tab w:val="num" w:pos="900"/>
        </w:tabs>
        <w:spacing w:before="0" w:beforeAutospacing="0" w:after="0" w:afterAutospacing="0"/>
        <w:ind w:left="360"/>
        <w:jc w:val="both"/>
        <w:rPr>
          <w:rFonts w:ascii="Tahoma" w:hAnsi="Tahoma" w:cs="Tahoma"/>
          <w:sz w:val="20"/>
          <w:szCs w:val="20"/>
        </w:rPr>
      </w:pPr>
      <w:r w:rsidRPr="00AC48F9">
        <w:rPr>
          <w:rFonts w:ascii="Tahoma" w:hAnsi="Tahoma" w:cs="Tahoma"/>
          <w:sz w:val="20"/>
          <w:szCs w:val="20"/>
        </w:rPr>
        <w:t>Asimismo, indicó que agotada la búsqueda del padrón informático del área de licencias comerciales, no obra registro de la persona jurídica AGENCIA DE VIAJES Y SERVICIOS ANDESMAR E.I.R.L.</w:t>
      </w:r>
    </w:p>
    <w:p w:rsidR="007C39AF" w:rsidRPr="00AC48F9" w:rsidRDefault="007C39AF" w:rsidP="007C39AF">
      <w:pPr>
        <w:pStyle w:val="NormalWeb"/>
        <w:tabs>
          <w:tab w:val="num" w:pos="900"/>
        </w:tabs>
        <w:spacing w:before="0" w:beforeAutospacing="0" w:after="0" w:afterAutospacing="0"/>
        <w:jc w:val="both"/>
        <w:rPr>
          <w:rFonts w:ascii="Tahoma" w:hAnsi="Tahoma" w:cs="Tahoma"/>
          <w:sz w:val="20"/>
          <w:szCs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Mediante Resolución Nº 123-2010-OSCE/DS de fecha 11 de mayo de 2010, la Dirección del SEACE resolvió iniciar las acciones legales para que en sede judicial se declare la nulidad de la aprobación automática del trámite de renovación de inscripción como proveedor de bienes y servicios en el Registro nacional de Proveedores. Comunicar la presente Resolución ante el Tribunal de Contrataciones del Estado.</w:t>
      </w:r>
    </w:p>
    <w:p w:rsidR="007C39AF" w:rsidRPr="00AC48F9" w:rsidRDefault="007C39AF" w:rsidP="007C39AF">
      <w:pPr>
        <w:pStyle w:val="Prrafodelista"/>
        <w:rPr>
          <w:rFonts w:ascii="Tahoma" w:hAnsi="Tahoma" w:cs="Tahoma"/>
          <w:sz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Mediante Oficio Nº 152-2010-OSCE de fecha 17 de mayo de 2010,  se notificó la Resolución detallada al Proveedor.</w:t>
      </w:r>
    </w:p>
    <w:p w:rsidR="00AC48F9" w:rsidRDefault="00AC48F9" w:rsidP="00AC48F9">
      <w:pPr>
        <w:pStyle w:val="NormalWeb"/>
        <w:tabs>
          <w:tab w:val="num" w:pos="900"/>
        </w:tabs>
        <w:spacing w:before="0" w:beforeAutospacing="0" w:after="0" w:afterAutospacing="0"/>
        <w:ind w:left="360"/>
        <w:jc w:val="both"/>
        <w:rPr>
          <w:rFonts w:ascii="Tahoma" w:hAnsi="Tahoma" w:cs="Tahoma"/>
          <w:sz w:val="20"/>
          <w:szCs w:val="20"/>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Con Memorando Nº 295-2011/DS-MSH de fecha 23 de marzo de 2011, la Entidad puso en conocimiento de este Tribunal los hechos antes descritos; y en función a ello, mediante Decreto de fecha 25 de marzo de 2011, se dispuso el inicio del procedimiento administrativo sancionador contra la empresa proveedora por supuesta responsabilidad en la presentación de documentos falsos o inexactos durante la realización del trámite de inscripción como proveedor de bienes y servicios ante el Registro Nacional de Proveedores, infracción tipificada en el numeral 10) del artículo 294º del Reglamento, emplazando al contratista para que presente sus descargos en el plazo de diez (10) días, bajo apercibimiento de resolver con la documentación obrante en autos.</w:t>
      </w:r>
    </w:p>
    <w:p w:rsidR="007C39AF" w:rsidRPr="00AC48F9" w:rsidRDefault="007C39AF" w:rsidP="007C39AF">
      <w:pPr>
        <w:pStyle w:val="Prrafodelista"/>
        <w:rPr>
          <w:rFonts w:ascii="Tahoma" w:hAnsi="Tahoma" w:cs="Tahoma"/>
          <w:sz w:val="20"/>
          <w:highlight w:val="yellow"/>
        </w:rPr>
      </w:pPr>
    </w:p>
    <w:p w:rsidR="007C39AF" w:rsidRPr="00AC48F9" w:rsidRDefault="007C39AF" w:rsidP="007C39AF">
      <w:pPr>
        <w:pStyle w:val="NormalWeb"/>
        <w:numPr>
          <w:ilvl w:val="0"/>
          <w:numId w:val="8"/>
        </w:numPr>
        <w:tabs>
          <w:tab w:val="num" w:pos="900"/>
        </w:tabs>
        <w:spacing w:before="0" w:beforeAutospacing="0" w:after="0" w:afterAutospacing="0"/>
        <w:jc w:val="both"/>
        <w:rPr>
          <w:rFonts w:ascii="Tahoma" w:hAnsi="Tahoma" w:cs="Tahoma"/>
          <w:sz w:val="20"/>
          <w:szCs w:val="20"/>
        </w:rPr>
      </w:pPr>
      <w:r w:rsidRPr="00AC48F9">
        <w:rPr>
          <w:rFonts w:ascii="Tahoma" w:hAnsi="Tahoma" w:cs="Tahoma"/>
          <w:sz w:val="20"/>
          <w:szCs w:val="20"/>
        </w:rPr>
        <w:t xml:space="preserve">Con decreto de fecha 31 de mayo de 2011, </w:t>
      </w:r>
      <w:r w:rsidRPr="00AC48F9">
        <w:rPr>
          <w:rFonts w:ascii="Tahoma" w:hAnsi="Tahoma" w:cs="Tahoma"/>
          <w:color w:val="000000"/>
          <w:sz w:val="20"/>
          <w:szCs w:val="20"/>
        </w:rPr>
        <w:t xml:space="preserve">no habiendo cumplido </w:t>
      </w:r>
      <w:r w:rsidRPr="00AC48F9">
        <w:rPr>
          <w:rFonts w:ascii="Tahoma" w:hAnsi="Tahoma" w:cs="Tahoma"/>
          <w:color w:val="000000"/>
          <w:sz w:val="20"/>
          <w:szCs w:val="20"/>
          <w:lang w:val="es-ES_tradnl"/>
        </w:rPr>
        <w:t xml:space="preserve">el Proveedor </w:t>
      </w:r>
      <w:r w:rsidRPr="00AC48F9">
        <w:rPr>
          <w:rFonts w:ascii="Tahoma" w:hAnsi="Tahoma" w:cs="Tahoma"/>
          <w:color w:val="000000"/>
          <w:sz w:val="20"/>
          <w:szCs w:val="20"/>
        </w:rPr>
        <w:t>con presentar sus descargos, se dispuso: hacer efectivo el apercibimiento decretado de resolver con la documentación obrante en autos y, remítase el expediente a la </w:t>
      </w:r>
      <w:r w:rsidRPr="00AC48F9">
        <w:rPr>
          <w:rStyle w:val="Textoennegrita"/>
          <w:rFonts w:ascii="Tahoma" w:hAnsi="Tahoma" w:cs="Tahoma"/>
          <w:b w:val="0"/>
          <w:color w:val="000000"/>
          <w:sz w:val="20"/>
          <w:szCs w:val="20"/>
        </w:rPr>
        <w:t>Primera</w:t>
      </w:r>
      <w:r w:rsidRPr="00AC48F9">
        <w:rPr>
          <w:rFonts w:ascii="Tahoma" w:hAnsi="Tahoma" w:cs="Tahoma"/>
          <w:color w:val="000000"/>
          <w:sz w:val="20"/>
          <w:szCs w:val="20"/>
        </w:rPr>
        <w:t xml:space="preserve"> Sala del Tribunal para que resuelva.</w:t>
      </w:r>
    </w:p>
    <w:p w:rsidR="007C39AF" w:rsidRPr="00AC48F9" w:rsidRDefault="007C39AF" w:rsidP="007C39AF">
      <w:pPr>
        <w:tabs>
          <w:tab w:val="num" w:pos="9720"/>
        </w:tabs>
        <w:spacing w:after="0" w:line="240" w:lineRule="auto"/>
        <w:jc w:val="both"/>
        <w:rPr>
          <w:rFonts w:ascii="Tahoma" w:hAnsi="Tahoma" w:cs="Tahoma"/>
          <w:b/>
          <w:sz w:val="20"/>
          <w:szCs w:val="20"/>
        </w:rPr>
      </w:pPr>
    </w:p>
    <w:p w:rsidR="007C39AF" w:rsidRPr="00AC48F9" w:rsidRDefault="007C39AF" w:rsidP="007C39AF">
      <w:pPr>
        <w:tabs>
          <w:tab w:val="num" w:pos="9720"/>
        </w:tabs>
        <w:spacing w:after="0" w:line="240" w:lineRule="auto"/>
        <w:jc w:val="both"/>
        <w:rPr>
          <w:rFonts w:ascii="Tahoma" w:hAnsi="Tahoma" w:cs="Tahoma"/>
          <w:b/>
          <w:sz w:val="20"/>
          <w:szCs w:val="20"/>
        </w:rPr>
      </w:pPr>
      <w:r w:rsidRPr="00AC48F9">
        <w:rPr>
          <w:rFonts w:ascii="Tahoma" w:hAnsi="Tahoma" w:cs="Tahoma"/>
          <w:b/>
          <w:sz w:val="20"/>
          <w:szCs w:val="20"/>
        </w:rPr>
        <w:t>FUNDAMENTACIÓN:</w:t>
      </w:r>
    </w:p>
    <w:p w:rsidR="007C39AF" w:rsidRPr="00AC48F9" w:rsidRDefault="007C39AF" w:rsidP="007C39AF">
      <w:pPr>
        <w:pStyle w:val="Textoindependiente"/>
        <w:rPr>
          <w:rFonts w:ascii="Tahoma" w:hAnsi="Tahoma" w:cs="Tahoma"/>
          <w:b/>
          <w:bCs/>
          <w:sz w:val="20"/>
          <w:szCs w:val="20"/>
          <w:lang w:val="es-MX"/>
        </w:rPr>
      </w:pPr>
    </w:p>
    <w:p w:rsidR="007C39AF" w:rsidRPr="00AC48F9" w:rsidRDefault="007C39AF" w:rsidP="007C39AF">
      <w:pPr>
        <w:rPr>
          <w:rFonts w:ascii="Tahoma" w:hAnsi="Tahoma" w:cs="Tahoma"/>
          <w:b/>
          <w:bCs/>
          <w:sz w:val="20"/>
          <w:szCs w:val="20"/>
        </w:rPr>
      </w:pPr>
      <w:r w:rsidRPr="00AC48F9">
        <w:rPr>
          <w:rFonts w:ascii="Tahoma" w:hAnsi="Tahoma" w:cs="Tahoma"/>
          <w:b/>
          <w:bCs/>
          <w:sz w:val="20"/>
          <w:szCs w:val="20"/>
          <w:u w:val="single"/>
        </w:rPr>
        <w:t>De la Competencia del Tribunal de Contrataciones del Estado</w:t>
      </w: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 xml:space="preserve">El numeral 1 del artículo 235 de la Ley 27444, Ley de Procedimiento Administrativo General, establece que el Procedimiento Administrativo Sancionador se inicia siempre de </w:t>
      </w:r>
      <w:r w:rsidRPr="00AC48F9">
        <w:rPr>
          <w:rFonts w:ascii="Tahoma" w:hAnsi="Tahoma" w:cs="Tahoma"/>
          <w:sz w:val="20"/>
          <w:szCs w:val="20"/>
        </w:rPr>
        <w:lastRenderedPageBreak/>
        <w:t>oficio, bien por propia iniciativa o como consecuencia de orden superior, petición motivada de otros órganos o entidades por denuncia.</w:t>
      </w:r>
    </w:p>
    <w:p w:rsidR="00AC48F9" w:rsidRDefault="00AC48F9" w:rsidP="00AC48F9">
      <w:pPr>
        <w:spacing w:after="0" w:line="240" w:lineRule="auto"/>
        <w:ind w:left="786"/>
        <w:jc w:val="both"/>
        <w:rPr>
          <w:rFonts w:ascii="Tahoma" w:hAnsi="Tahoma" w:cs="Tahoma"/>
          <w:sz w:val="20"/>
          <w:szCs w:val="20"/>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(Texto Único Ordenado de la Ley de Contrataciones y Adquisiciones del Estado), a los proveedores, participantes, postores, contratistas y entidades, según corresponda, por infracciones a las disposiciones contenidas en la Ley y el presente Reglamento.</w:t>
      </w:r>
    </w:p>
    <w:p w:rsidR="00AC48F9" w:rsidRDefault="00AC48F9" w:rsidP="007C39AF">
      <w:pPr>
        <w:ind w:left="708"/>
        <w:jc w:val="both"/>
        <w:rPr>
          <w:rFonts w:ascii="Tahoma" w:hAnsi="Tahoma" w:cs="Tahoma"/>
          <w:b/>
          <w:bCs/>
          <w:sz w:val="20"/>
          <w:szCs w:val="20"/>
          <w:u w:val="single"/>
          <w:lang w:val="es-MX"/>
        </w:rPr>
      </w:pPr>
    </w:p>
    <w:p w:rsidR="007C39AF" w:rsidRPr="00AC48F9" w:rsidRDefault="007C39AF" w:rsidP="007C39AF">
      <w:pPr>
        <w:ind w:left="708"/>
        <w:jc w:val="both"/>
        <w:rPr>
          <w:rFonts w:ascii="Tahoma" w:hAnsi="Tahoma" w:cs="Tahoma"/>
          <w:b/>
          <w:bCs/>
          <w:sz w:val="20"/>
          <w:szCs w:val="20"/>
          <w:u w:val="single"/>
          <w:lang w:val="es-MX"/>
        </w:rPr>
      </w:pPr>
      <w:r w:rsidRPr="00AC48F9">
        <w:rPr>
          <w:rFonts w:ascii="Tahoma" w:hAnsi="Tahoma" w:cs="Tahoma"/>
          <w:b/>
          <w:bCs/>
          <w:sz w:val="20"/>
          <w:szCs w:val="20"/>
          <w:u w:val="single"/>
          <w:lang w:val="es-MX"/>
        </w:rPr>
        <w:t>Del Procedimiento Sancionador</w:t>
      </w:r>
    </w:p>
    <w:p w:rsidR="007C39AF" w:rsidRPr="00AC48F9" w:rsidRDefault="007C39AF" w:rsidP="007C39AF">
      <w:pPr>
        <w:numPr>
          <w:ilvl w:val="0"/>
          <w:numId w:val="9"/>
        </w:numPr>
        <w:tabs>
          <w:tab w:val="num" w:pos="454"/>
        </w:tabs>
        <w:spacing w:after="0" w:line="240" w:lineRule="auto"/>
        <w:jc w:val="both"/>
        <w:rPr>
          <w:rFonts w:ascii="Tahoma" w:hAnsi="Tahoma" w:cs="Tahoma"/>
          <w:b/>
          <w:bCs/>
          <w:sz w:val="20"/>
          <w:szCs w:val="20"/>
          <w:u w:val="single"/>
          <w:lang w:val="es-MX"/>
        </w:rPr>
      </w:pPr>
      <w:r w:rsidRPr="00AC48F9">
        <w:rPr>
          <w:rFonts w:ascii="Tahoma" w:hAnsi="Tahoma" w:cs="Tahoma"/>
          <w:sz w:val="20"/>
          <w:szCs w:val="20"/>
          <w:lang w:val="es-MX"/>
        </w:rPr>
        <w:t xml:space="preserve">El presente caso está referido a la supuesta responsabilidad de la empresa </w:t>
      </w:r>
      <w:r w:rsidRPr="00AC48F9">
        <w:rPr>
          <w:rFonts w:ascii="Tahoma" w:hAnsi="Tahoma" w:cs="Tahoma"/>
          <w:sz w:val="20"/>
          <w:szCs w:val="20"/>
        </w:rPr>
        <w:t>AGENCIA DE VIAJES Y SERVICIOS ANDESMAR E.I.R.L.,</w:t>
      </w:r>
      <w:r w:rsidRPr="00AC48F9">
        <w:rPr>
          <w:rFonts w:ascii="Tahoma" w:hAnsi="Tahoma" w:cs="Tahoma"/>
          <w:sz w:val="20"/>
          <w:szCs w:val="20"/>
          <w:lang w:val="es-MX"/>
        </w:rPr>
        <w:t xml:space="preserve"> por la presentación de documentos falsos durante </w:t>
      </w:r>
      <w:r w:rsidRPr="00AC48F9">
        <w:rPr>
          <w:rFonts w:ascii="Tahoma" w:hAnsi="Tahoma" w:cs="Tahoma"/>
          <w:sz w:val="20"/>
          <w:szCs w:val="20"/>
        </w:rPr>
        <w:t>la realización del trámite de inscripción de Inscripción como Proveedor de Bienes y Servicios ante el Registro Nacional de Proveedores</w:t>
      </w:r>
      <w:r w:rsidRPr="00AC48F9">
        <w:rPr>
          <w:rFonts w:ascii="Tahoma" w:hAnsi="Tahoma" w:cs="Tahoma"/>
          <w:sz w:val="20"/>
          <w:szCs w:val="20"/>
          <w:lang w:val="es-MX"/>
        </w:rPr>
        <w:t xml:space="preserve">, </w:t>
      </w:r>
      <w:r w:rsidRPr="00AC48F9">
        <w:rPr>
          <w:rFonts w:ascii="Tahoma" w:hAnsi="Tahoma" w:cs="Tahoma"/>
          <w:sz w:val="20"/>
          <w:szCs w:val="20"/>
        </w:rPr>
        <w:t>infracción tipificada en el numeral 10) del artículo 294</w:t>
      </w:r>
      <w:r w:rsidRPr="00AC48F9">
        <w:rPr>
          <w:rStyle w:val="Refdenotaalpie"/>
          <w:rFonts w:ascii="Tahoma" w:hAnsi="Tahoma" w:cs="Tahoma"/>
          <w:sz w:val="20"/>
          <w:szCs w:val="20"/>
        </w:rPr>
        <w:footnoteReference w:id="2"/>
      </w:r>
      <w:r w:rsidRPr="00AC48F9">
        <w:rPr>
          <w:rFonts w:ascii="Tahoma" w:hAnsi="Tahoma" w:cs="Tahoma"/>
          <w:sz w:val="20"/>
          <w:szCs w:val="20"/>
        </w:rPr>
        <w:t xml:space="preserve"> del Reglamento de la Ley de Contrataciones y Adquisiciones del Estado, aprobado por Decreto Supremo N.° 084-2004-PCM, en adelante el Reglamento.</w:t>
      </w:r>
    </w:p>
    <w:p w:rsidR="00AC48F9" w:rsidRPr="00AC48F9" w:rsidRDefault="00AC48F9" w:rsidP="00AC48F9">
      <w:pPr>
        <w:spacing w:after="0" w:line="240" w:lineRule="auto"/>
        <w:ind w:left="786"/>
        <w:jc w:val="both"/>
        <w:rPr>
          <w:rFonts w:ascii="Tahoma" w:hAnsi="Tahoma" w:cs="Tahoma"/>
          <w:sz w:val="20"/>
          <w:szCs w:val="20"/>
          <w:lang w:val="es-MX"/>
        </w:rPr>
      </w:pPr>
    </w:p>
    <w:p w:rsidR="007C39AF" w:rsidRPr="00AC48F9" w:rsidRDefault="007C39AF" w:rsidP="007C39AF">
      <w:pPr>
        <w:numPr>
          <w:ilvl w:val="0"/>
          <w:numId w:val="9"/>
        </w:numPr>
        <w:tabs>
          <w:tab w:val="num" w:pos="454"/>
        </w:tabs>
        <w:spacing w:after="0" w:line="240" w:lineRule="auto"/>
        <w:jc w:val="both"/>
        <w:rPr>
          <w:rFonts w:ascii="Tahoma" w:hAnsi="Tahoma" w:cs="Tahoma"/>
          <w:sz w:val="20"/>
          <w:szCs w:val="20"/>
          <w:lang w:val="es-MX"/>
        </w:rPr>
      </w:pPr>
      <w:r w:rsidRPr="00AC48F9">
        <w:rPr>
          <w:rFonts w:ascii="Tahoma" w:hAnsi="Tahoma" w:cs="Tahoma"/>
          <w:sz w:val="20"/>
          <w:szCs w:val="20"/>
        </w:rPr>
        <w:t xml:space="preserve">Asimismo, de acuerdo con el </w:t>
      </w:r>
      <w:r w:rsidRPr="00AC48F9">
        <w:rPr>
          <w:rFonts w:ascii="Tahoma" w:hAnsi="Tahoma" w:cs="Tahoma"/>
          <w:i/>
          <w:iCs/>
          <w:sz w:val="20"/>
          <w:szCs w:val="20"/>
        </w:rPr>
        <w:t>principio de irrectroactividad</w:t>
      </w:r>
      <w:r w:rsidRPr="00AC48F9">
        <w:rPr>
          <w:rFonts w:ascii="Tahoma" w:hAnsi="Tahoma" w:cs="Tahoma"/>
          <w:sz w:val="20"/>
          <w:szCs w:val="20"/>
        </w:rPr>
        <w:t xml:space="preserve"> consagrada en el inciso 5) del artículo 230 de la Ley 27444, Ley de Procedimiento Administrativo General, son aplicables las disposiciones sancionatorias vigentes al momento en que el administrado hubiera incurrido en la conducta a sancionar</w:t>
      </w:r>
      <w:r w:rsidRPr="00AC48F9">
        <w:rPr>
          <w:rStyle w:val="Refdenotaalpie"/>
          <w:rFonts w:ascii="Tahoma" w:hAnsi="Tahoma" w:cs="Tahoma"/>
          <w:sz w:val="20"/>
          <w:szCs w:val="20"/>
        </w:rPr>
        <w:footnoteReference w:id="3"/>
      </w:r>
      <w:r w:rsidRPr="00AC48F9">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AC48F9" w:rsidRPr="00AC48F9" w:rsidRDefault="00AC48F9" w:rsidP="00AC48F9">
      <w:pPr>
        <w:spacing w:after="0" w:line="240" w:lineRule="auto"/>
        <w:ind w:left="786"/>
        <w:jc w:val="both"/>
        <w:rPr>
          <w:rFonts w:ascii="Tahoma" w:hAnsi="Tahoma" w:cs="Tahoma"/>
          <w:sz w:val="20"/>
          <w:szCs w:val="20"/>
          <w:lang w:val="es-MX"/>
        </w:rPr>
      </w:pPr>
    </w:p>
    <w:p w:rsidR="007C39AF" w:rsidRPr="00AC48F9" w:rsidRDefault="007C39AF" w:rsidP="007C39AF">
      <w:pPr>
        <w:numPr>
          <w:ilvl w:val="0"/>
          <w:numId w:val="9"/>
        </w:numPr>
        <w:tabs>
          <w:tab w:val="num" w:pos="454"/>
        </w:tabs>
        <w:spacing w:after="0" w:line="240" w:lineRule="auto"/>
        <w:jc w:val="both"/>
        <w:rPr>
          <w:rFonts w:ascii="Tahoma" w:hAnsi="Tahoma" w:cs="Tahoma"/>
          <w:sz w:val="20"/>
          <w:szCs w:val="20"/>
          <w:lang w:val="es-MX"/>
        </w:rPr>
      </w:pPr>
      <w:r w:rsidRPr="00AC48F9">
        <w:rPr>
          <w:rFonts w:ascii="Tahoma" w:hAnsi="Tahoma" w:cs="Tahoma"/>
          <w:sz w:val="20"/>
          <w:szCs w:val="20"/>
        </w:rPr>
        <w:t>Al respecto, la infracción imputada al Proveedor corresponde a la señalada en el numeral 10) del artículo 294 del Reglamento.</w:t>
      </w:r>
    </w:p>
    <w:p w:rsidR="00AC48F9" w:rsidRDefault="00AC48F9" w:rsidP="00AC48F9">
      <w:pPr>
        <w:spacing w:after="0" w:line="240" w:lineRule="auto"/>
        <w:ind w:left="786"/>
        <w:jc w:val="both"/>
        <w:rPr>
          <w:rFonts w:ascii="Tahoma" w:hAnsi="Tahoma" w:cs="Tahoma"/>
          <w:sz w:val="20"/>
          <w:szCs w:val="20"/>
          <w:lang w:val="es-MX"/>
        </w:rPr>
      </w:pPr>
    </w:p>
    <w:p w:rsidR="007C39AF" w:rsidRPr="00AC48F9" w:rsidRDefault="007C39AF" w:rsidP="007C39AF">
      <w:pPr>
        <w:numPr>
          <w:ilvl w:val="0"/>
          <w:numId w:val="9"/>
        </w:numPr>
        <w:tabs>
          <w:tab w:val="num" w:pos="454"/>
        </w:tabs>
        <w:spacing w:after="0" w:line="240" w:lineRule="auto"/>
        <w:jc w:val="both"/>
        <w:rPr>
          <w:rFonts w:ascii="Tahoma" w:hAnsi="Tahoma" w:cs="Tahoma"/>
          <w:sz w:val="20"/>
          <w:szCs w:val="20"/>
          <w:lang w:val="es-MX"/>
        </w:rPr>
      </w:pPr>
      <w:r w:rsidRPr="00AC48F9">
        <w:rPr>
          <w:rFonts w:ascii="Tahoma" w:hAnsi="Tahoma" w:cs="Tahoma"/>
          <w:sz w:val="20"/>
          <w:szCs w:val="20"/>
          <w:lang w:val="es-MX"/>
        </w:rPr>
        <w:t xml:space="preserve">Para </w:t>
      </w:r>
      <w:r w:rsidRPr="00AC48F9">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AC48F9">
        <w:rPr>
          <w:rFonts w:ascii="Tahoma" w:hAnsi="Tahoma" w:cs="Tahoma"/>
          <w:i/>
          <w:iCs/>
          <w:sz w:val="20"/>
          <w:szCs w:val="20"/>
        </w:rPr>
        <w:t>Principios de Moralidad</w:t>
      </w:r>
      <w:r w:rsidRPr="00AC48F9">
        <w:rPr>
          <w:rFonts w:ascii="Tahoma" w:hAnsi="Tahoma" w:cs="Tahoma"/>
          <w:sz w:val="20"/>
          <w:szCs w:val="20"/>
        </w:rPr>
        <w:t xml:space="preserve"> y de </w:t>
      </w:r>
      <w:r w:rsidRPr="00AC48F9">
        <w:rPr>
          <w:rFonts w:ascii="Tahoma" w:hAnsi="Tahoma" w:cs="Tahoma"/>
          <w:i/>
          <w:iCs/>
          <w:sz w:val="20"/>
          <w:szCs w:val="20"/>
        </w:rPr>
        <w:lastRenderedPageBreak/>
        <w:t>Presunción de Veracidad</w:t>
      </w:r>
      <w:r w:rsidRPr="00AC48F9">
        <w:rPr>
          <w:rFonts w:ascii="Tahoma" w:hAnsi="Tahoma" w:cs="Tahoma"/>
          <w:sz w:val="20"/>
          <w:szCs w:val="20"/>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7C39AF" w:rsidRPr="00AC48F9" w:rsidRDefault="007C39AF" w:rsidP="007C39AF">
      <w:pPr>
        <w:pStyle w:val="Prrafodelista1"/>
        <w:rPr>
          <w:rFonts w:ascii="Tahoma" w:hAnsi="Tahoma" w:cs="Tahoma"/>
          <w:sz w:val="20"/>
          <w:szCs w:val="20"/>
        </w:rPr>
      </w:pPr>
    </w:p>
    <w:p w:rsidR="007C39AF" w:rsidRPr="00AC48F9" w:rsidRDefault="007C39AF" w:rsidP="007C39AF">
      <w:pPr>
        <w:pStyle w:val="Prrafodelista1"/>
        <w:ind w:left="900"/>
        <w:rPr>
          <w:rFonts w:ascii="Tahoma" w:hAnsi="Tahoma" w:cs="Tahoma"/>
          <w:b/>
          <w:bCs/>
          <w:sz w:val="20"/>
          <w:szCs w:val="20"/>
          <w:u w:val="single"/>
        </w:rPr>
      </w:pPr>
      <w:r w:rsidRPr="00AC48F9">
        <w:rPr>
          <w:rFonts w:ascii="Tahoma" w:hAnsi="Tahoma" w:cs="Tahoma"/>
          <w:b/>
          <w:bCs/>
          <w:sz w:val="20"/>
          <w:szCs w:val="20"/>
          <w:u w:val="single"/>
        </w:rPr>
        <w:t xml:space="preserve">Análisis de los Hechos </w:t>
      </w:r>
    </w:p>
    <w:p w:rsidR="007C39AF" w:rsidRPr="00AC48F9" w:rsidRDefault="007C39AF" w:rsidP="007C39AF">
      <w:pPr>
        <w:pStyle w:val="Prrafodelista1"/>
        <w:ind w:left="900"/>
        <w:rPr>
          <w:rFonts w:ascii="Tahoma" w:hAnsi="Tahoma" w:cs="Tahoma"/>
          <w:sz w:val="20"/>
          <w:szCs w:val="20"/>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 xml:space="preserve">En el caso que nos ocupa, la imputación contra el Proveedor se refiere a la supuesta falsedad de la </w:t>
      </w:r>
      <w:r w:rsidRPr="00AC48F9">
        <w:rPr>
          <w:rFonts w:ascii="Tahoma" w:hAnsi="Tahoma" w:cs="Tahoma"/>
          <w:sz w:val="20"/>
          <w:szCs w:val="20"/>
          <w:lang w:val="es-PE"/>
        </w:rPr>
        <w:t>Licencia de Apertura de Establecimientos Nº 0265 de fecha 01 de junio de 2007 emitido por la Municipalidad Provincial de Mariscal Nieto</w:t>
      </w:r>
      <w:r w:rsidRPr="00AC48F9">
        <w:rPr>
          <w:rFonts w:ascii="Tahoma" w:hAnsi="Tahoma" w:cs="Tahoma"/>
          <w:sz w:val="20"/>
          <w:szCs w:val="20"/>
        </w:rPr>
        <w:t>.</w:t>
      </w:r>
    </w:p>
    <w:p w:rsidR="00AC48F9" w:rsidRDefault="00AC48F9" w:rsidP="00AC48F9">
      <w:pPr>
        <w:spacing w:after="0" w:line="240" w:lineRule="auto"/>
        <w:ind w:left="786"/>
        <w:jc w:val="both"/>
        <w:rPr>
          <w:rFonts w:ascii="Tahoma" w:hAnsi="Tahoma" w:cs="Tahoma"/>
          <w:sz w:val="20"/>
          <w:szCs w:val="20"/>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 xml:space="preserve">En aplicación del </w:t>
      </w:r>
      <w:r w:rsidRPr="00AC48F9">
        <w:rPr>
          <w:rFonts w:ascii="Tahoma" w:hAnsi="Tahoma" w:cs="Tahoma"/>
          <w:i/>
          <w:iCs/>
          <w:sz w:val="20"/>
          <w:szCs w:val="20"/>
        </w:rPr>
        <w:t xml:space="preserve">Principio de Privilegio de Controles Posteriores, </w:t>
      </w:r>
      <w:r w:rsidRPr="00AC48F9">
        <w:rPr>
          <w:rFonts w:ascii="Tahoma" w:hAnsi="Tahoma" w:cs="Tahoma"/>
          <w:sz w:val="20"/>
          <w:szCs w:val="20"/>
        </w:rPr>
        <w:t>contemplado en el numeral 1.16 del Artículo IV del Título Preliminar de la Ley N° 27444</w:t>
      </w:r>
      <w:r w:rsidRPr="00AC48F9">
        <w:rPr>
          <w:rStyle w:val="Refdenotaalpie"/>
          <w:rFonts w:ascii="Tahoma" w:hAnsi="Tahoma" w:cs="Tahoma"/>
          <w:sz w:val="20"/>
          <w:szCs w:val="20"/>
        </w:rPr>
        <w:footnoteReference w:id="4"/>
      </w:r>
      <w:r w:rsidRPr="00AC48F9">
        <w:rPr>
          <w:rFonts w:ascii="Tahoma" w:hAnsi="Tahoma" w:cs="Tahoma"/>
          <w:sz w:val="20"/>
          <w:szCs w:val="20"/>
        </w:rPr>
        <w:t xml:space="preserve">,  la Entidad solicitó mediante Oficios Nros 257-2009-OSCE-DSFE/SF.GF, Nº 5914-2009-OSCE-DSF/SFIS.JQ y  969-2010-OSCE-DSF/SFIS.HL de fechas 19.03.2009, 30.12.2009 y 19.02.2010, notificados con fechas 30.03.2009, 08.01.2010 y 19.02.2010, respectivamente,   brinde su conformidad a los datos consignados en la </w:t>
      </w:r>
      <w:r w:rsidRPr="00AC48F9">
        <w:rPr>
          <w:rFonts w:ascii="Tahoma" w:hAnsi="Tahoma" w:cs="Tahoma"/>
          <w:sz w:val="20"/>
          <w:szCs w:val="20"/>
          <w:lang w:val="es-PE"/>
        </w:rPr>
        <w:t>Licencia de Apertura de Establecimientos Nº 0265 de fecha 01 de junio de 2007</w:t>
      </w:r>
      <w:r w:rsidRPr="00AC48F9">
        <w:rPr>
          <w:rFonts w:ascii="Tahoma" w:hAnsi="Tahoma" w:cs="Tahoma"/>
          <w:sz w:val="20"/>
          <w:szCs w:val="20"/>
        </w:rPr>
        <w:t>, presentada por el Proveedor.</w:t>
      </w:r>
    </w:p>
    <w:p w:rsidR="007C39AF" w:rsidRPr="00AC48F9" w:rsidRDefault="007C39AF" w:rsidP="007C39AF">
      <w:pPr>
        <w:pStyle w:val="Prrafodelista"/>
        <w:rPr>
          <w:rFonts w:ascii="Tahoma" w:hAnsi="Tahoma" w:cs="Tahoma"/>
          <w:sz w:val="20"/>
        </w:rPr>
      </w:pPr>
    </w:p>
    <w:p w:rsidR="007C39AF" w:rsidRPr="00AC48F9" w:rsidRDefault="007C39AF" w:rsidP="007C39AF">
      <w:pPr>
        <w:numPr>
          <w:ilvl w:val="0"/>
          <w:numId w:val="9"/>
        </w:numPr>
        <w:tabs>
          <w:tab w:val="num" w:pos="900"/>
        </w:tabs>
        <w:spacing w:after="0" w:line="240" w:lineRule="auto"/>
        <w:jc w:val="both"/>
        <w:rPr>
          <w:rFonts w:ascii="Tahoma" w:hAnsi="Tahoma" w:cs="Tahoma"/>
          <w:sz w:val="20"/>
          <w:szCs w:val="20"/>
        </w:rPr>
      </w:pPr>
      <w:r w:rsidRPr="00AC48F9">
        <w:rPr>
          <w:rFonts w:ascii="Tahoma" w:hAnsi="Tahoma" w:cs="Tahoma"/>
          <w:sz w:val="20"/>
          <w:szCs w:val="20"/>
        </w:rPr>
        <w:t>En atención a dicho requerimiento, con Carta Nº 013-2010/GSC/MPMN</w:t>
      </w:r>
      <w:r w:rsidRPr="00AC48F9">
        <w:rPr>
          <w:rStyle w:val="Refdenotaalpie"/>
          <w:rFonts w:ascii="Tahoma" w:hAnsi="Tahoma" w:cs="Tahoma"/>
          <w:sz w:val="20"/>
          <w:szCs w:val="20"/>
        </w:rPr>
        <w:footnoteReference w:id="5"/>
      </w:r>
      <w:r w:rsidRPr="00AC48F9">
        <w:rPr>
          <w:rFonts w:ascii="Tahoma" w:hAnsi="Tahoma" w:cs="Tahoma"/>
          <w:sz w:val="20"/>
          <w:szCs w:val="20"/>
        </w:rPr>
        <w:t xml:space="preserve"> de fecha 03 de marzo de 2010,  recibido el 05 del mismo mes y año, la Municipalidad Provincial de Mariscal Nieto indicó lo siguiente adjuntó el Informe Nº 014-2009-MPH-SGDE-AL/S en los siguientes términos: </w:t>
      </w:r>
      <w:r w:rsidRPr="00AC48F9">
        <w:rPr>
          <w:rFonts w:ascii="Tahoma" w:hAnsi="Tahoma" w:cs="Tahoma"/>
          <w:i/>
          <w:iCs/>
          <w:sz w:val="20"/>
          <w:szCs w:val="20"/>
        </w:rPr>
        <w:t>“(…) Que respecto a la veracidad de la fotocopia de la Licencia de Funcionamiento Nº 265 de fecha 01.06.2007 se determina que esta ha sido adulterada en virtud al informe Nº 009-2010-S-SGRT-GAT/MPMN de fecha 01.03.2010 emitido por el servidor Lic. Fernando Laguna arias, titular de la firma en cuestión, siendo que el cargo de Gerente de Administración Tributaria le fue conferido hasta el 31.12.2006. Que, agotada la búsqueda del padrón informático del área de licencias comerciales de la Municipalidad Provincial de Mariscal Nieto, NO OBRA REGISTRO de la persona jurídica AGECNIA DE VIAJES Y SERVICIOS ANDESMAR E.I.R.L. en virtud al informe Nº 122-2010 AL-SGAC-GSC-MPMN, presentado por la encargada del área de Licencias.”</w:t>
      </w:r>
    </w:p>
    <w:p w:rsidR="007C39AF" w:rsidRPr="00AC48F9" w:rsidRDefault="007C39AF" w:rsidP="007C39AF">
      <w:pPr>
        <w:pStyle w:val="Prrafodelista"/>
        <w:rPr>
          <w:rFonts w:ascii="Tahoma" w:hAnsi="Tahoma" w:cs="Tahoma"/>
          <w:sz w:val="20"/>
          <w:highlight w:val="yellow"/>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Dicha aseveración emitida por el supuesto emisor, permite constatar que los datos consignados en el documento cuestionado son falsos, pues según lo indicado por la Municipalidad de Mariscal Nieto en el Informe Nº 017-2010-SGAC-GSC-MPMN</w:t>
      </w:r>
      <w:r w:rsidRPr="00AC48F9">
        <w:rPr>
          <w:rStyle w:val="Refdenotaalpie"/>
          <w:rFonts w:ascii="Tahoma" w:hAnsi="Tahoma" w:cs="Tahoma"/>
          <w:sz w:val="20"/>
          <w:szCs w:val="20"/>
        </w:rPr>
        <w:footnoteReference w:id="6"/>
      </w:r>
      <w:r w:rsidRPr="00AC48F9">
        <w:rPr>
          <w:rFonts w:ascii="Tahoma" w:hAnsi="Tahoma" w:cs="Tahoma"/>
          <w:sz w:val="20"/>
          <w:szCs w:val="20"/>
        </w:rPr>
        <w:t>, la Licencia de Funcionamiento Nº 265, pertenece a la empresa TRANSPORTES EL PINO S.A.C., ubicado en Av. El ejercito Nº 130-c conforme lo dispuesto en Resolución Gerencial Nº 607-05/GAT/MPMN de fecha 01.09.2005</w:t>
      </w:r>
      <w:r w:rsidRPr="00AC48F9">
        <w:rPr>
          <w:rFonts w:ascii="Tahoma" w:hAnsi="Tahoma" w:cs="Tahoma"/>
          <w:i/>
          <w:iCs/>
          <w:sz w:val="20"/>
          <w:szCs w:val="20"/>
        </w:rPr>
        <w:t>,</w:t>
      </w:r>
      <w:r w:rsidRPr="00AC48F9">
        <w:rPr>
          <w:rFonts w:ascii="Tahoma" w:hAnsi="Tahoma" w:cs="Tahoma"/>
          <w:sz w:val="20"/>
          <w:szCs w:val="20"/>
        </w:rPr>
        <w:t xml:space="preserve"> hecho que constituye prueba suficiente para desvirtuar el principio de Presunción de Veracidad que rige a los procedimientos administrativos, criterio que ha sido adoptado en reiterados pronunciamientos de este Tribunal.</w:t>
      </w:r>
    </w:p>
    <w:p w:rsidR="00AC48F9" w:rsidRDefault="00AC48F9" w:rsidP="00AC48F9">
      <w:pPr>
        <w:spacing w:after="0" w:line="240" w:lineRule="auto"/>
        <w:ind w:left="786"/>
        <w:jc w:val="both"/>
        <w:rPr>
          <w:rFonts w:ascii="Tahoma" w:hAnsi="Tahoma" w:cs="Tahoma"/>
          <w:sz w:val="20"/>
          <w:szCs w:val="20"/>
        </w:rPr>
      </w:pPr>
    </w:p>
    <w:p w:rsidR="007C39AF" w:rsidRPr="00AC48F9" w:rsidRDefault="007C39AF" w:rsidP="00AC48F9">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Respecto a la infracción configurada como sancionable, el Proveedor no ha presentado argumento de defensa alguno que desvirtúe su responsabilidad, a pesar de haber sido debidamente notificado mediante Cédula de Notificación</w:t>
      </w:r>
      <w:r w:rsidRPr="00AC48F9">
        <w:rPr>
          <w:rFonts w:ascii="Tahoma" w:hAnsi="Tahoma" w:cs="Tahoma"/>
          <w:sz w:val="20"/>
          <w:szCs w:val="20"/>
        </w:rPr>
        <w:br/>
        <w:t>Nº 11572/2011.TC el 16 de mayo de 2011.</w:t>
      </w:r>
    </w:p>
    <w:p w:rsidR="007C39AF" w:rsidRPr="00AC48F9" w:rsidRDefault="007C39AF" w:rsidP="007C39AF">
      <w:pPr>
        <w:pStyle w:val="Prrafodelista"/>
        <w:rPr>
          <w:rFonts w:ascii="Tahoma" w:hAnsi="Tahoma" w:cs="Tahoma"/>
          <w:sz w:val="20"/>
          <w:highlight w:val="yellow"/>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 xml:space="preserve">De lo señalado con anterioridad, se puede concluir que el Proveedor presentó documento falso, a efectos de formalizar su trámite de inscripción como proveedor de bienes y servicios ante el Registro Nacional de Proveedores, tal como se ha podido </w:t>
      </w:r>
      <w:r w:rsidRPr="00AC48F9">
        <w:rPr>
          <w:rFonts w:ascii="Tahoma" w:hAnsi="Tahoma" w:cs="Tahoma"/>
          <w:sz w:val="20"/>
          <w:szCs w:val="20"/>
          <w:u w:val="single"/>
        </w:rPr>
        <w:t>constatar de la información proporcionada por la Entidad Edil</w:t>
      </w:r>
      <w:r w:rsidRPr="00AC48F9">
        <w:rPr>
          <w:rFonts w:ascii="Tahoma" w:hAnsi="Tahoma" w:cs="Tahoma"/>
          <w:sz w:val="20"/>
          <w:szCs w:val="20"/>
        </w:rPr>
        <w:t xml:space="preserve">; con lo cual, queda evidenciado, de todo lo anteriormente expresado, la </w:t>
      </w:r>
      <w:r w:rsidRPr="00AC48F9">
        <w:rPr>
          <w:rFonts w:ascii="Tahoma" w:hAnsi="Tahoma" w:cs="Tahoma"/>
          <w:i/>
          <w:iCs/>
          <w:sz w:val="20"/>
          <w:szCs w:val="20"/>
        </w:rPr>
        <w:t>trasgresión al Principio de Presunción de Veracidad</w:t>
      </w:r>
      <w:r w:rsidRPr="00AC48F9">
        <w:rPr>
          <w:rFonts w:ascii="Tahoma" w:hAnsi="Tahoma" w:cs="Tahoma"/>
          <w:sz w:val="20"/>
          <w:szCs w:val="20"/>
        </w:rPr>
        <w:t xml:space="preserve"> en la que incurrió la empresa proveedora.</w:t>
      </w:r>
    </w:p>
    <w:p w:rsidR="007C39AF" w:rsidRPr="00AC48F9" w:rsidRDefault="007C39AF" w:rsidP="007C39AF">
      <w:pPr>
        <w:pStyle w:val="Prrafodelista"/>
        <w:rPr>
          <w:rFonts w:ascii="Tahoma" w:hAnsi="Tahoma" w:cs="Tahoma"/>
          <w:sz w:val="20"/>
          <w:highlight w:val="yellow"/>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 xml:space="preserve">Finalmente, cabe señalar que si bien es cierto que la Licencia de Apertura, objeto de cuestionamiento no es un requisito establecido en el TUPA del CONSUCODE (actualmente OSCE) para el trámite de inscripción ante el Registro Nacional de Proveedores; sin embargo, ello no obsta para que sea objeto de </w:t>
      </w:r>
      <w:r w:rsidRPr="00AC48F9">
        <w:rPr>
          <w:rFonts w:ascii="Tahoma" w:hAnsi="Tahoma" w:cs="Tahoma"/>
          <w:i/>
          <w:iCs/>
          <w:sz w:val="20"/>
          <w:szCs w:val="20"/>
        </w:rPr>
        <w:t>fiscalización posterior</w:t>
      </w:r>
      <w:r w:rsidRPr="00AC48F9">
        <w:rPr>
          <w:rFonts w:ascii="Tahoma" w:hAnsi="Tahoma" w:cs="Tahoma"/>
          <w:sz w:val="20"/>
          <w:szCs w:val="20"/>
        </w:rPr>
        <w:t xml:space="preserve"> al estar de por medio el interés público, toda vez que la empresa denunciada suscribió el formulario oficial </w:t>
      </w:r>
      <w:r w:rsidRPr="00AC48F9">
        <w:rPr>
          <w:rFonts w:ascii="Tahoma" w:hAnsi="Tahoma" w:cs="Tahoma"/>
          <w:i/>
          <w:iCs/>
          <w:sz w:val="20"/>
          <w:szCs w:val="20"/>
        </w:rPr>
        <w:t>- Declaración Jurada de Veracidad de Documentos de Información y Declaración Presentada</w:t>
      </w:r>
      <w:r w:rsidRPr="00AC48F9">
        <w:rPr>
          <w:rFonts w:ascii="Tahoma" w:hAnsi="Tahoma" w:cs="Tahoma"/>
          <w:sz w:val="20"/>
          <w:szCs w:val="20"/>
        </w:rPr>
        <w:t xml:space="preserve"> - en la cual manifestó que toda la información proporcionada era veraz, que los documentos presentados eran auténticos, que conocían las sanciones aplicables y que, en caso se comprobase que lo expresado en dicha declaración jurada no se ajustaba a la verdad, asumía la responsabilidad respectiva.  (lo resaltado es nuestro)</w:t>
      </w:r>
    </w:p>
    <w:p w:rsidR="007C39AF" w:rsidRPr="00AC48F9" w:rsidRDefault="007C39AF" w:rsidP="007C39AF">
      <w:pPr>
        <w:pStyle w:val="Prrafodelista"/>
        <w:rPr>
          <w:rFonts w:ascii="Tahoma" w:hAnsi="Tahoma" w:cs="Tahoma"/>
          <w:sz w:val="20"/>
          <w:highlight w:val="yellow"/>
        </w:rPr>
      </w:pPr>
    </w:p>
    <w:p w:rsidR="007C39AF" w:rsidRPr="00AC48F9" w:rsidRDefault="007C39AF" w:rsidP="007C39AF">
      <w:pPr>
        <w:numPr>
          <w:ilvl w:val="0"/>
          <w:numId w:val="9"/>
        </w:numPr>
        <w:spacing w:after="0" w:line="240" w:lineRule="auto"/>
        <w:jc w:val="both"/>
        <w:rPr>
          <w:rFonts w:ascii="Tahoma" w:hAnsi="Tahoma" w:cs="Tahoma"/>
          <w:sz w:val="20"/>
          <w:szCs w:val="20"/>
        </w:rPr>
      </w:pPr>
      <w:r w:rsidRPr="00AC48F9">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AC48F9" w:rsidRDefault="00AC48F9" w:rsidP="007C39AF">
      <w:pPr>
        <w:ind w:left="900"/>
        <w:jc w:val="both"/>
        <w:rPr>
          <w:rFonts w:ascii="Tahoma" w:hAnsi="Tahoma" w:cs="Tahoma"/>
          <w:b/>
          <w:bCs/>
          <w:sz w:val="20"/>
          <w:szCs w:val="20"/>
          <w:u w:val="single"/>
        </w:rPr>
      </w:pPr>
    </w:p>
    <w:p w:rsidR="007C39AF" w:rsidRPr="00AC48F9" w:rsidRDefault="007C39AF" w:rsidP="007C39AF">
      <w:pPr>
        <w:ind w:left="900"/>
        <w:jc w:val="both"/>
        <w:rPr>
          <w:rFonts w:ascii="Tahoma" w:hAnsi="Tahoma" w:cs="Tahoma"/>
          <w:sz w:val="20"/>
          <w:szCs w:val="20"/>
        </w:rPr>
      </w:pPr>
      <w:r w:rsidRPr="00AC48F9">
        <w:rPr>
          <w:rFonts w:ascii="Tahoma" w:hAnsi="Tahoma" w:cs="Tahoma"/>
          <w:b/>
          <w:bCs/>
          <w:sz w:val="20"/>
          <w:szCs w:val="20"/>
          <w:u w:val="single"/>
        </w:rPr>
        <w:t>Respecto de la Sanción imponible</w:t>
      </w:r>
      <w:r w:rsidRPr="00AC48F9">
        <w:rPr>
          <w:rFonts w:ascii="Tahoma" w:hAnsi="Tahoma" w:cs="Tahoma"/>
          <w:sz w:val="20"/>
          <w:szCs w:val="20"/>
        </w:rPr>
        <w:t>.</w:t>
      </w:r>
    </w:p>
    <w:p w:rsidR="007C39AF" w:rsidRPr="00AC48F9" w:rsidRDefault="007C39AF" w:rsidP="007C39AF">
      <w:pPr>
        <w:numPr>
          <w:ilvl w:val="0"/>
          <w:numId w:val="9"/>
        </w:numPr>
        <w:tabs>
          <w:tab w:val="left" w:pos="1080"/>
        </w:tabs>
        <w:spacing w:after="0" w:line="240" w:lineRule="auto"/>
        <w:jc w:val="both"/>
        <w:rPr>
          <w:rFonts w:ascii="Tahoma" w:hAnsi="Tahoma" w:cs="Tahoma"/>
          <w:sz w:val="20"/>
          <w:szCs w:val="20"/>
        </w:rPr>
      </w:pPr>
      <w:r w:rsidRPr="00AC48F9">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AC48F9" w:rsidRDefault="00AC48F9" w:rsidP="00AC48F9">
      <w:pPr>
        <w:tabs>
          <w:tab w:val="left" w:pos="1080"/>
        </w:tabs>
        <w:spacing w:after="0" w:line="240" w:lineRule="auto"/>
        <w:ind w:left="786"/>
        <w:jc w:val="both"/>
        <w:rPr>
          <w:rFonts w:ascii="Tahoma" w:hAnsi="Tahoma" w:cs="Tahoma"/>
          <w:sz w:val="20"/>
          <w:szCs w:val="20"/>
        </w:rPr>
      </w:pPr>
    </w:p>
    <w:p w:rsidR="007C39AF" w:rsidRPr="00AC48F9" w:rsidRDefault="007C39AF" w:rsidP="007C39AF">
      <w:pPr>
        <w:numPr>
          <w:ilvl w:val="0"/>
          <w:numId w:val="9"/>
        </w:numPr>
        <w:tabs>
          <w:tab w:val="left" w:pos="1080"/>
        </w:tabs>
        <w:spacing w:after="0" w:line="240" w:lineRule="auto"/>
        <w:jc w:val="both"/>
        <w:rPr>
          <w:rFonts w:ascii="Tahoma" w:hAnsi="Tahoma" w:cs="Tahoma"/>
          <w:sz w:val="20"/>
          <w:szCs w:val="20"/>
        </w:rPr>
      </w:pPr>
      <w:r w:rsidRPr="00AC48F9">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AC48F9" w:rsidRDefault="00AC48F9" w:rsidP="00AC48F9">
      <w:pPr>
        <w:pStyle w:val="Prrafodelista1"/>
        <w:ind w:left="1080"/>
        <w:jc w:val="both"/>
        <w:rPr>
          <w:rFonts w:ascii="Tahoma" w:hAnsi="Tahoma" w:cs="Tahoma"/>
          <w:sz w:val="20"/>
          <w:szCs w:val="20"/>
        </w:rPr>
      </w:pPr>
    </w:p>
    <w:p w:rsidR="007C39AF" w:rsidRPr="00AC48F9" w:rsidRDefault="007C39AF" w:rsidP="007C39AF">
      <w:pPr>
        <w:pStyle w:val="Prrafodelista1"/>
        <w:numPr>
          <w:ilvl w:val="0"/>
          <w:numId w:val="10"/>
        </w:numPr>
        <w:jc w:val="both"/>
        <w:rPr>
          <w:rFonts w:ascii="Tahoma" w:hAnsi="Tahoma" w:cs="Tahoma"/>
          <w:sz w:val="20"/>
          <w:szCs w:val="20"/>
        </w:rPr>
      </w:pPr>
      <w:r w:rsidRPr="00AC48F9">
        <w:rPr>
          <w:rFonts w:ascii="Tahoma" w:hAnsi="Tahoma" w:cs="Tahoma"/>
          <w:sz w:val="20"/>
          <w:szCs w:val="20"/>
        </w:rPr>
        <w:t xml:space="preserve">La infracción cometida reviste una considerable gravedad, debido a que vulnera el </w:t>
      </w:r>
      <w:r w:rsidRPr="00AC48F9">
        <w:rPr>
          <w:rFonts w:ascii="Tahoma" w:hAnsi="Tahoma" w:cs="Tahoma"/>
          <w:i/>
          <w:iCs/>
          <w:sz w:val="20"/>
          <w:szCs w:val="20"/>
        </w:rPr>
        <w:t xml:space="preserve">Principio de Moralidad </w:t>
      </w:r>
      <w:r w:rsidRPr="00AC48F9">
        <w:rPr>
          <w:rFonts w:ascii="Tahoma" w:hAnsi="Tahoma" w:cs="Tahoma"/>
          <w:sz w:val="20"/>
          <w:szCs w:val="20"/>
        </w:rPr>
        <w:t xml:space="preserve">que debe regir a todos los actos vinculados a las contrataciones públicas. Por lo demás, dicho principio, junto a la </w:t>
      </w:r>
      <w:r w:rsidRPr="00AC48F9">
        <w:rPr>
          <w:rFonts w:ascii="Tahoma" w:hAnsi="Tahoma" w:cs="Tahoma"/>
          <w:i/>
          <w:iCs/>
          <w:sz w:val="20"/>
          <w:szCs w:val="20"/>
        </w:rPr>
        <w:t>fe pública</w:t>
      </w:r>
      <w:r w:rsidRPr="00AC48F9">
        <w:rPr>
          <w:rFonts w:ascii="Tahoma" w:hAnsi="Tahoma" w:cs="Tahoma"/>
          <w:sz w:val="20"/>
          <w:szCs w:val="20"/>
        </w:rPr>
        <w:t>, constituyen bienes jurídicos merecedores de protección especial, pues constituyen los pilares de las relaciones suscitadas entre la Administración Pública y los administrados.</w:t>
      </w:r>
    </w:p>
    <w:p w:rsidR="007C39AF" w:rsidRPr="00AC48F9" w:rsidRDefault="007C39AF" w:rsidP="007C39AF">
      <w:pPr>
        <w:pStyle w:val="Prrafodelista1"/>
        <w:ind w:left="1080"/>
        <w:rPr>
          <w:rFonts w:ascii="Tahoma" w:hAnsi="Tahoma" w:cs="Tahoma"/>
          <w:sz w:val="20"/>
          <w:szCs w:val="20"/>
        </w:rPr>
      </w:pPr>
    </w:p>
    <w:p w:rsidR="007C39AF" w:rsidRPr="00AC48F9" w:rsidRDefault="007C39AF" w:rsidP="007C39AF">
      <w:pPr>
        <w:pStyle w:val="Prrafodelista1"/>
        <w:numPr>
          <w:ilvl w:val="0"/>
          <w:numId w:val="10"/>
        </w:numPr>
        <w:jc w:val="both"/>
        <w:rPr>
          <w:rFonts w:ascii="Tahoma" w:hAnsi="Tahoma" w:cs="Tahoma"/>
          <w:sz w:val="20"/>
          <w:szCs w:val="20"/>
        </w:rPr>
      </w:pPr>
      <w:r w:rsidRPr="00AC48F9">
        <w:rPr>
          <w:rFonts w:ascii="Tahoma" w:hAnsi="Tahoma" w:cs="Tahoma"/>
          <w:sz w:val="20"/>
          <w:szCs w:val="20"/>
        </w:rPr>
        <w:t xml:space="preserve">La falsedad del mencionado documento presentado por el Proveedor en su  trámite de renovación de inscripción como proveedor de bienes y servicios ante el Registro </w:t>
      </w:r>
      <w:r w:rsidRPr="00AC48F9">
        <w:rPr>
          <w:rFonts w:ascii="Tahoma" w:hAnsi="Tahoma" w:cs="Tahoma"/>
          <w:sz w:val="20"/>
          <w:szCs w:val="20"/>
        </w:rPr>
        <w:lastRenderedPageBreak/>
        <w:t xml:space="preserve">Nacional de Proveedores, ha  sido fehacientemente </w:t>
      </w:r>
      <w:r w:rsidRPr="00AC48F9">
        <w:rPr>
          <w:rFonts w:ascii="Tahoma" w:hAnsi="Tahoma" w:cs="Tahoma"/>
          <w:color w:val="000000"/>
          <w:sz w:val="20"/>
          <w:szCs w:val="20"/>
        </w:rPr>
        <w:t>acreditada por la Entidad y por este Colegiado.</w:t>
      </w:r>
    </w:p>
    <w:p w:rsidR="007C39AF" w:rsidRPr="00AC48F9" w:rsidRDefault="007C39AF" w:rsidP="007C39AF">
      <w:pPr>
        <w:pStyle w:val="Prrafodelista1"/>
        <w:rPr>
          <w:rFonts w:ascii="Tahoma" w:hAnsi="Tahoma" w:cs="Tahoma"/>
          <w:sz w:val="20"/>
          <w:szCs w:val="20"/>
        </w:rPr>
      </w:pPr>
    </w:p>
    <w:p w:rsidR="007C39AF" w:rsidRPr="00AC48F9" w:rsidRDefault="007C39AF" w:rsidP="007C39AF">
      <w:pPr>
        <w:pStyle w:val="Prrafodelista1"/>
        <w:numPr>
          <w:ilvl w:val="0"/>
          <w:numId w:val="10"/>
        </w:numPr>
        <w:jc w:val="both"/>
        <w:rPr>
          <w:rFonts w:ascii="Tahoma" w:hAnsi="Tahoma" w:cs="Tahoma"/>
          <w:sz w:val="20"/>
          <w:szCs w:val="20"/>
        </w:rPr>
      </w:pPr>
      <w:r w:rsidRPr="00AC48F9">
        <w:rPr>
          <w:rFonts w:ascii="Tahoma" w:hAnsi="Tahoma" w:cs="Tahoma"/>
          <w:sz w:val="20"/>
          <w:szCs w:val="20"/>
        </w:rPr>
        <w:t>Así, también debe evaluarse la conducta adoptada por el Proveedor a lo largo del procedimiento, quién  no ha presentado sus descargos.</w:t>
      </w:r>
    </w:p>
    <w:p w:rsidR="007C39AF" w:rsidRPr="00AC48F9" w:rsidRDefault="007C39AF" w:rsidP="007C39AF">
      <w:pPr>
        <w:pStyle w:val="Prrafodelista1"/>
        <w:rPr>
          <w:rFonts w:ascii="Tahoma" w:hAnsi="Tahoma" w:cs="Tahoma"/>
          <w:sz w:val="20"/>
          <w:szCs w:val="20"/>
        </w:rPr>
      </w:pPr>
    </w:p>
    <w:p w:rsidR="007C39AF" w:rsidRPr="00AC48F9" w:rsidRDefault="007C39AF" w:rsidP="007C39AF">
      <w:pPr>
        <w:pStyle w:val="Prrafodelista1"/>
        <w:numPr>
          <w:ilvl w:val="0"/>
          <w:numId w:val="10"/>
        </w:numPr>
        <w:jc w:val="both"/>
        <w:rPr>
          <w:rFonts w:ascii="Tahoma" w:hAnsi="Tahoma" w:cs="Tahoma"/>
          <w:sz w:val="20"/>
          <w:szCs w:val="20"/>
        </w:rPr>
      </w:pPr>
      <w:r w:rsidRPr="00AC48F9">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AC48F9" w:rsidRDefault="00AC48F9" w:rsidP="00AC48F9">
      <w:pPr>
        <w:spacing w:after="0" w:line="240" w:lineRule="auto"/>
        <w:ind w:left="851"/>
        <w:jc w:val="both"/>
        <w:rPr>
          <w:rFonts w:ascii="Tahoma" w:hAnsi="Tahoma" w:cs="Tahoma"/>
          <w:sz w:val="20"/>
          <w:szCs w:val="20"/>
        </w:rPr>
      </w:pPr>
    </w:p>
    <w:p w:rsidR="007C39AF" w:rsidRPr="00AC48F9" w:rsidRDefault="007C39AF" w:rsidP="007C39AF">
      <w:pPr>
        <w:numPr>
          <w:ilvl w:val="0"/>
          <w:numId w:val="9"/>
        </w:numPr>
        <w:spacing w:after="0" w:line="240" w:lineRule="auto"/>
        <w:ind w:left="851" w:hanging="491"/>
        <w:jc w:val="both"/>
        <w:rPr>
          <w:rFonts w:ascii="Tahoma" w:hAnsi="Tahoma" w:cs="Tahoma"/>
          <w:sz w:val="20"/>
          <w:szCs w:val="20"/>
        </w:rPr>
      </w:pPr>
      <w:r w:rsidRPr="00AC48F9">
        <w:rPr>
          <w:rFonts w:ascii="Tahoma" w:hAnsi="Tahoma" w:cs="Tahoma"/>
          <w:sz w:val="20"/>
          <w:szCs w:val="20"/>
        </w:rPr>
        <w:t xml:space="preserve"> Asimismo, </w:t>
      </w:r>
      <w:r w:rsidRPr="00AC48F9">
        <w:rPr>
          <w:rFonts w:ascii="Tahoma" w:hAnsi="Tahoma" w:cs="Tahoma"/>
          <w:color w:val="000000"/>
          <w:sz w:val="20"/>
          <w:szCs w:val="20"/>
        </w:rPr>
        <w:t xml:space="preserve">resulta importante traer a colación el </w:t>
      </w:r>
      <w:r w:rsidRPr="00AC48F9">
        <w:rPr>
          <w:rFonts w:ascii="Tahoma" w:hAnsi="Tahoma" w:cs="Tahoma"/>
          <w:i/>
          <w:iCs/>
          <w:color w:val="000000"/>
          <w:sz w:val="20"/>
          <w:szCs w:val="20"/>
        </w:rPr>
        <w:t>Principio de Razonabilidad</w:t>
      </w:r>
      <w:r w:rsidRPr="00AC48F9">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AC48F9" w:rsidRDefault="00AC48F9" w:rsidP="00AC48F9">
      <w:pPr>
        <w:spacing w:after="0" w:line="240" w:lineRule="auto"/>
        <w:ind w:left="851"/>
        <w:jc w:val="both"/>
        <w:rPr>
          <w:rFonts w:ascii="Tahoma" w:hAnsi="Tahoma" w:cs="Tahoma"/>
          <w:sz w:val="20"/>
          <w:szCs w:val="20"/>
        </w:rPr>
      </w:pPr>
    </w:p>
    <w:p w:rsidR="007C39AF" w:rsidRPr="00AC48F9" w:rsidRDefault="007C39AF" w:rsidP="007C39AF">
      <w:pPr>
        <w:numPr>
          <w:ilvl w:val="0"/>
          <w:numId w:val="9"/>
        </w:numPr>
        <w:spacing w:after="0" w:line="240" w:lineRule="auto"/>
        <w:ind w:left="851" w:hanging="491"/>
        <w:jc w:val="both"/>
        <w:rPr>
          <w:rFonts w:ascii="Tahoma" w:hAnsi="Tahoma" w:cs="Tahoma"/>
          <w:sz w:val="20"/>
          <w:szCs w:val="20"/>
        </w:rPr>
      </w:pPr>
      <w:r w:rsidRPr="00AC48F9">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AC48F9" w:rsidRDefault="00AC48F9" w:rsidP="00AC48F9">
      <w:pPr>
        <w:spacing w:after="0" w:line="240" w:lineRule="auto"/>
        <w:ind w:left="851"/>
        <w:jc w:val="both"/>
        <w:rPr>
          <w:rFonts w:ascii="Tahoma" w:hAnsi="Tahoma" w:cs="Tahoma"/>
          <w:sz w:val="20"/>
          <w:szCs w:val="20"/>
        </w:rPr>
      </w:pPr>
    </w:p>
    <w:p w:rsidR="007C39AF" w:rsidRPr="00AC48F9" w:rsidRDefault="007C39AF" w:rsidP="007C39AF">
      <w:pPr>
        <w:numPr>
          <w:ilvl w:val="0"/>
          <w:numId w:val="9"/>
        </w:numPr>
        <w:tabs>
          <w:tab w:val="clear" w:pos="786"/>
        </w:tabs>
        <w:spacing w:after="0" w:line="240" w:lineRule="auto"/>
        <w:ind w:left="851" w:hanging="491"/>
        <w:jc w:val="both"/>
        <w:rPr>
          <w:rFonts w:ascii="Tahoma" w:hAnsi="Tahoma" w:cs="Tahoma"/>
          <w:sz w:val="20"/>
          <w:szCs w:val="20"/>
        </w:rPr>
      </w:pPr>
      <w:r w:rsidRPr="00AC48F9">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(falsa declaración en procedimiento administrativo) y contra la fe pública (falsificación de documentos) se dispone poner en conocimiento de dicha autoridad la presente Resolución, para los fines pertinentes.</w:t>
      </w:r>
    </w:p>
    <w:p w:rsidR="007C39AF" w:rsidRPr="00AC48F9" w:rsidRDefault="007C39AF" w:rsidP="007C39AF">
      <w:pPr>
        <w:spacing w:after="0" w:line="240" w:lineRule="auto"/>
        <w:ind w:firstLine="567"/>
        <w:jc w:val="both"/>
        <w:rPr>
          <w:rFonts w:ascii="Tahoma" w:hAnsi="Tahoma" w:cs="Tahoma"/>
          <w:sz w:val="20"/>
          <w:szCs w:val="20"/>
        </w:rPr>
      </w:pPr>
    </w:p>
    <w:p w:rsidR="007C39AF" w:rsidRPr="00AC48F9" w:rsidRDefault="007C39AF" w:rsidP="007C39AF">
      <w:pPr>
        <w:spacing w:after="0" w:line="240" w:lineRule="auto"/>
        <w:ind w:left="-284" w:firstLine="360"/>
        <w:jc w:val="both"/>
        <w:rPr>
          <w:rFonts w:ascii="Tahoma" w:hAnsi="Tahoma" w:cs="Tahoma"/>
          <w:sz w:val="20"/>
          <w:szCs w:val="20"/>
        </w:rPr>
      </w:pPr>
      <w:r w:rsidRPr="00AC48F9">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ind w:right="-315"/>
        <w:jc w:val="both"/>
        <w:rPr>
          <w:rFonts w:ascii="Tahoma" w:hAnsi="Tahoma" w:cs="Tahoma"/>
          <w:b/>
          <w:sz w:val="20"/>
          <w:szCs w:val="20"/>
        </w:rPr>
      </w:pPr>
      <w:r w:rsidRPr="00AC48F9">
        <w:rPr>
          <w:rFonts w:ascii="Tahoma" w:hAnsi="Tahoma" w:cs="Tahoma"/>
          <w:b/>
          <w:sz w:val="20"/>
          <w:szCs w:val="20"/>
        </w:rPr>
        <w:t>LA SALA RESUELVE:</w:t>
      </w:r>
    </w:p>
    <w:p w:rsidR="007C39AF" w:rsidRPr="00AC48F9" w:rsidRDefault="007C39AF" w:rsidP="007C39AF">
      <w:pPr>
        <w:spacing w:after="0" w:line="240" w:lineRule="auto"/>
        <w:ind w:left="360"/>
        <w:jc w:val="both"/>
        <w:rPr>
          <w:rFonts w:ascii="Tahoma" w:hAnsi="Tahoma" w:cs="Tahoma"/>
          <w:sz w:val="20"/>
          <w:szCs w:val="20"/>
        </w:rPr>
      </w:pPr>
    </w:p>
    <w:p w:rsidR="007C39AF" w:rsidRPr="00AC48F9" w:rsidRDefault="007C39AF" w:rsidP="007C39AF">
      <w:pPr>
        <w:pStyle w:val="Prrafodelista"/>
        <w:widowControl/>
        <w:numPr>
          <w:ilvl w:val="0"/>
          <w:numId w:val="11"/>
        </w:numPr>
        <w:suppressAutoHyphens w:val="0"/>
        <w:ind w:left="709" w:hanging="283"/>
        <w:jc w:val="both"/>
        <w:rPr>
          <w:rFonts w:ascii="Tahoma" w:hAnsi="Tahoma" w:cs="Tahoma"/>
          <w:sz w:val="20"/>
        </w:rPr>
      </w:pPr>
      <w:r w:rsidRPr="00AC48F9">
        <w:rPr>
          <w:rFonts w:ascii="Tahoma" w:hAnsi="Tahoma" w:cs="Tahoma"/>
          <w:sz w:val="20"/>
        </w:rPr>
        <w:t xml:space="preserve">SANCIONAR a la empresa </w:t>
      </w:r>
      <w:r w:rsidRPr="00AC48F9">
        <w:rPr>
          <w:rFonts w:ascii="Tahoma" w:hAnsi="Tahoma" w:cs="Tahoma"/>
          <w:sz w:val="20"/>
          <w:lang w:val="es-PE"/>
        </w:rPr>
        <w:t>AGENCIA DE VIAJES Y SERVICIOS ANDESMAR E.I.R.L.</w:t>
      </w:r>
      <w:r w:rsidRPr="00AC48F9">
        <w:rPr>
          <w:rFonts w:ascii="Tahoma" w:hAnsi="Tahoma" w:cs="Tahoma"/>
          <w:sz w:val="20"/>
        </w:rPr>
        <w:t xml:space="preserve"> con  nueve (09) meses de inhabilitación temporal para participar en procesos de selección y contratar con el Estado, sanción que entrará en vigencia a partir del sexto día hábil siguiente de notificada la presente resolución.</w:t>
      </w:r>
    </w:p>
    <w:p w:rsidR="007C39AF" w:rsidRPr="00AC48F9" w:rsidRDefault="007C39AF" w:rsidP="007C39AF">
      <w:pPr>
        <w:pStyle w:val="Prrafodelista"/>
        <w:ind w:left="709" w:hanging="283"/>
        <w:jc w:val="both"/>
        <w:rPr>
          <w:rFonts w:ascii="Tahoma" w:hAnsi="Tahoma" w:cs="Tahoma"/>
          <w:sz w:val="20"/>
        </w:rPr>
      </w:pPr>
    </w:p>
    <w:p w:rsidR="007C39AF" w:rsidRPr="00AC48F9" w:rsidRDefault="007C39AF" w:rsidP="007C39AF">
      <w:pPr>
        <w:pStyle w:val="Prrafodelista"/>
        <w:widowControl/>
        <w:numPr>
          <w:ilvl w:val="0"/>
          <w:numId w:val="11"/>
        </w:numPr>
        <w:suppressAutoHyphens w:val="0"/>
        <w:ind w:left="709" w:hanging="283"/>
        <w:jc w:val="both"/>
        <w:rPr>
          <w:rFonts w:ascii="Tahoma" w:hAnsi="Tahoma" w:cs="Tahoma"/>
          <w:sz w:val="20"/>
        </w:rPr>
      </w:pPr>
      <w:r w:rsidRPr="00AC48F9">
        <w:rPr>
          <w:rFonts w:ascii="Tahoma" w:hAnsi="Tahoma" w:cs="Tahoma"/>
          <w:sz w:val="20"/>
        </w:rPr>
        <w:t>Poner la presente Resolución en conocimiento de la Subdirección del Registro Nacional de Proveedores del Organismo Supervisor de las Contrataciones del Estado (OSCE), para las anotaciones de ley.</w:t>
      </w:r>
    </w:p>
    <w:p w:rsidR="007C39AF" w:rsidRPr="00AC48F9" w:rsidRDefault="007C39AF" w:rsidP="007C39AF">
      <w:pPr>
        <w:pStyle w:val="Prrafodelista"/>
        <w:ind w:left="709" w:hanging="283"/>
        <w:jc w:val="both"/>
        <w:rPr>
          <w:rFonts w:ascii="Tahoma" w:hAnsi="Tahoma" w:cs="Tahoma"/>
          <w:sz w:val="20"/>
        </w:rPr>
      </w:pPr>
    </w:p>
    <w:p w:rsidR="007C39AF" w:rsidRPr="00AC48F9" w:rsidRDefault="007C39AF" w:rsidP="007C39AF">
      <w:pPr>
        <w:pStyle w:val="Prrafodelista"/>
        <w:widowControl/>
        <w:numPr>
          <w:ilvl w:val="0"/>
          <w:numId w:val="11"/>
        </w:numPr>
        <w:suppressAutoHyphens w:val="0"/>
        <w:ind w:left="709" w:hanging="283"/>
        <w:jc w:val="both"/>
        <w:rPr>
          <w:rFonts w:ascii="Tahoma" w:hAnsi="Tahoma" w:cs="Tahoma"/>
          <w:sz w:val="20"/>
        </w:rPr>
      </w:pPr>
      <w:r w:rsidRPr="00AC48F9">
        <w:rPr>
          <w:rFonts w:ascii="Tahoma" w:hAnsi="Tahoma" w:cs="Tahoma"/>
          <w:sz w:val="20"/>
        </w:rPr>
        <w:t>Poner la presente Resolución en conocimiento del Ministerio Público, para los fines pertinentes.</w:t>
      </w:r>
    </w:p>
    <w:p w:rsidR="007C39AF" w:rsidRPr="00AC48F9" w:rsidRDefault="007C39AF" w:rsidP="007C39AF">
      <w:pPr>
        <w:pStyle w:val="Ttulo3"/>
        <w:spacing w:line="240" w:lineRule="auto"/>
        <w:jc w:val="both"/>
        <w:rPr>
          <w:rFonts w:ascii="Tahoma" w:hAnsi="Tahoma" w:cs="Tahoma"/>
          <w:b w:val="0"/>
          <w:bCs w:val="0"/>
          <w:sz w:val="20"/>
          <w:szCs w:val="20"/>
        </w:rPr>
      </w:pPr>
      <w:r w:rsidRPr="00AC48F9">
        <w:rPr>
          <w:rFonts w:ascii="Tahoma" w:hAnsi="Tahoma" w:cs="Tahoma"/>
          <w:b w:val="0"/>
          <w:sz w:val="20"/>
          <w:szCs w:val="20"/>
        </w:rPr>
        <w:t>Regístrese, comuníquese y publíquese.</w:t>
      </w: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ind w:left="2832" w:firstLine="708"/>
        <w:jc w:val="both"/>
        <w:rPr>
          <w:rFonts w:ascii="Tahoma" w:hAnsi="Tahoma" w:cs="Tahoma"/>
          <w:b/>
          <w:shadow/>
          <w:sz w:val="20"/>
          <w:szCs w:val="20"/>
        </w:rPr>
      </w:pPr>
      <w:r w:rsidRPr="00AC48F9">
        <w:rPr>
          <w:rFonts w:ascii="Tahoma" w:hAnsi="Tahoma" w:cs="Tahoma"/>
          <w:b/>
          <w:shadow/>
          <w:sz w:val="20"/>
          <w:szCs w:val="20"/>
        </w:rPr>
        <w:t>PRESIDENTE</w:t>
      </w: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b/>
          <w:shadow/>
          <w:sz w:val="20"/>
          <w:szCs w:val="20"/>
        </w:rPr>
      </w:pPr>
    </w:p>
    <w:p w:rsidR="007C39AF" w:rsidRPr="00AC48F9" w:rsidRDefault="007C39AF" w:rsidP="007C39AF">
      <w:pPr>
        <w:spacing w:after="0" w:line="240" w:lineRule="auto"/>
        <w:jc w:val="both"/>
        <w:rPr>
          <w:rFonts w:ascii="Tahoma" w:hAnsi="Tahoma" w:cs="Tahoma"/>
          <w:shadow/>
          <w:sz w:val="20"/>
          <w:szCs w:val="20"/>
        </w:rPr>
      </w:pPr>
      <w:r w:rsidRPr="00AC48F9">
        <w:rPr>
          <w:rFonts w:ascii="Tahoma" w:hAnsi="Tahoma" w:cs="Tahoma"/>
          <w:b/>
          <w:shadow/>
          <w:sz w:val="20"/>
          <w:szCs w:val="20"/>
        </w:rPr>
        <w:t xml:space="preserve">                  VOCAL</w:t>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r>
      <w:r w:rsidRPr="00AC48F9">
        <w:rPr>
          <w:rFonts w:ascii="Tahoma" w:hAnsi="Tahoma" w:cs="Tahoma"/>
          <w:b/>
          <w:shadow/>
          <w:sz w:val="20"/>
          <w:szCs w:val="20"/>
        </w:rPr>
        <w:tab/>
        <w:t xml:space="preserve">VOCAL                                                                 </w:t>
      </w: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20"/>
          <w:szCs w:val="20"/>
        </w:rPr>
      </w:pPr>
    </w:p>
    <w:p w:rsidR="007C39AF" w:rsidRPr="00AC48F9" w:rsidRDefault="007C39AF" w:rsidP="007C39AF">
      <w:pPr>
        <w:spacing w:after="0" w:line="240" w:lineRule="auto"/>
        <w:jc w:val="both"/>
        <w:rPr>
          <w:rFonts w:ascii="Tahoma" w:hAnsi="Tahoma" w:cs="Tahoma"/>
          <w:sz w:val="18"/>
          <w:szCs w:val="18"/>
        </w:rPr>
      </w:pPr>
      <w:r w:rsidRPr="00AC48F9">
        <w:rPr>
          <w:rFonts w:ascii="Tahoma" w:hAnsi="Tahoma" w:cs="Tahoma"/>
          <w:sz w:val="18"/>
          <w:szCs w:val="18"/>
        </w:rPr>
        <w:t>ss.</w:t>
      </w:r>
    </w:p>
    <w:p w:rsidR="007C39AF" w:rsidRPr="00AC48F9" w:rsidRDefault="007C39AF" w:rsidP="007C39AF">
      <w:pPr>
        <w:spacing w:after="0" w:line="240" w:lineRule="auto"/>
        <w:jc w:val="both"/>
        <w:rPr>
          <w:rFonts w:ascii="Tahoma" w:hAnsi="Tahoma" w:cs="Tahoma"/>
          <w:sz w:val="18"/>
          <w:szCs w:val="18"/>
        </w:rPr>
      </w:pPr>
      <w:r w:rsidRPr="00AC48F9">
        <w:rPr>
          <w:rFonts w:ascii="Tahoma" w:hAnsi="Tahoma" w:cs="Tahoma"/>
          <w:sz w:val="18"/>
          <w:szCs w:val="18"/>
        </w:rPr>
        <w:t>Navas Rondón,</w:t>
      </w:r>
    </w:p>
    <w:p w:rsidR="007C39AF" w:rsidRPr="00AC48F9" w:rsidRDefault="007C39AF" w:rsidP="007C39AF">
      <w:pPr>
        <w:spacing w:after="0" w:line="240" w:lineRule="auto"/>
        <w:jc w:val="both"/>
        <w:rPr>
          <w:rFonts w:ascii="Tahoma" w:hAnsi="Tahoma" w:cs="Tahoma"/>
          <w:sz w:val="18"/>
          <w:szCs w:val="18"/>
        </w:rPr>
      </w:pPr>
      <w:r w:rsidRPr="00AC48F9">
        <w:rPr>
          <w:rFonts w:ascii="Tahoma" w:hAnsi="Tahoma" w:cs="Tahoma"/>
          <w:sz w:val="18"/>
          <w:szCs w:val="18"/>
        </w:rPr>
        <w:t>Ramírez Maynetto,</w:t>
      </w:r>
    </w:p>
    <w:p w:rsidR="007C39AF" w:rsidRPr="00AC48F9" w:rsidRDefault="007C39AF" w:rsidP="007C39AF">
      <w:pPr>
        <w:spacing w:after="0" w:line="240" w:lineRule="auto"/>
        <w:jc w:val="both"/>
        <w:rPr>
          <w:rFonts w:ascii="Tahoma" w:hAnsi="Tahoma" w:cs="Tahoma"/>
          <w:sz w:val="18"/>
          <w:szCs w:val="18"/>
        </w:rPr>
      </w:pPr>
      <w:r w:rsidRPr="00AC48F9">
        <w:rPr>
          <w:rFonts w:ascii="Tahoma" w:hAnsi="Tahoma" w:cs="Tahoma"/>
          <w:sz w:val="18"/>
          <w:szCs w:val="18"/>
        </w:rPr>
        <w:t>Basulto Liewald.</w:t>
      </w:r>
    </w:p>
    <w:p w:rsidR="00260F0B" w:rsidRPr="00AC48F9" w:rsidRDefault="0061310D">
      <w:pPr>
        <w:rPr>
          <w:rFonts w:ascii="Tahoma" w:hAnsi="Tahoma" w:cs="Tahoma"/>
          <w:sz w:val="18"/>
          <w:szCs w:val="18"/>
        </w:rPr>
      </w:pPr>
    </w:p>
    <w:sectPr w:rsidR="00260F0B" w:rsidRPr="00AC48F9" w:rsidSect="00AC48F9">
      <w:headerReference w:type="default" r:id="rId7"/>
      <w:footerReference w:type="default" r:id="rId8"/>
      <w:pgSz w:w="11906" w:h="16838"/>
      <w:pgMar w:top="2836" w:right="155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0D" w:rsidRDefault="0061310D" w:rsidP="007C39AF">
      <w:pPr>
        <w:spacing w:after="0" w:line="240" w:lineRule="auto"/>
      </w:pPr>
      <w:r>
        <w:separator/>
      </w:r>
    </w:p>
  </w:endnote>
  <w:endnote w:type="continuationSeparator" w:id="1">
    <w:p w:rsidR="0061310D" w:rsidRDefault="0061310D" w:rsidP="007C39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F64DD6">
    <w:pPr>
      <w:pStyle w:val="Piedepgina"/>
      <w:jc w:val="center"/>
      <w:rPr>
        <w:rFonts w:ascii="Tahoma" w:hAnsi="Tahoma" w:cs="Tahoma"/>
        <w:i/>
        <w:sz w:val="18"/>
        <w:szCs w:val="18"/>
      </w:rPr>
    </w:pPr>
    <w:r w:rsidRPr="00FD5A0C">
      <w:rPr>
        <w:rFonts w:ascii="Tahoma" w:hAnsi="Tahoma" w:cs="Tahoma"/>
        <w:i/>
        <w:sz w:val="18"/>
        <w:szCs w:val="18"/>
      </w:rPr>
      <w:t xml:space="preserve">Página </w:t>
    </w:r>
    <w:r w:rsidR="00930ACD" w:rsidRPr="00FD5A0C">
      <w:rPr>
        <w:rFonts w:ascii="Tahoma" w:hAnsi="Tahoma" w:cs="Tahoma"/>
        <w:i/>
        <w:sz w:val="18"/>
        <w:szCs w:val="18"/>
      </w:rPr>
      <w:fldChar w:fldCharType="begin"/>
    </w:r>
    <w:r w:rsidRPr="00FD5A0C">
      <w:rPr>
        <w:rFonts w:ascii="Tahoma" w:hAnsi="Tahoma" w:cs="Tahoma"/>
        <w:i/>
        <w:sz w:val="18"/>
        <w:szCs w:val="18"/>
      </w:rPr>
      <w:instrText>PAGE</w:instrText>
    </w:r>
    <w:r w:rsidR="00930ACD" w:rsidRPr="00FD5A0C">
      <w:rPr>
        <w:rFonts w:ascii="Tahoma" w:hAnsi="Tahoma" w:cs="Tahoma"/>
        <w:i/>
        <w:sz w:val="18"/>
        <w:szCs w:val="18"/>
      </w:rPr>
      <w:fldChar w:fldCharType="separate"/>
    </w:r>
    <w:r w:rsidR="00927180">
      <w:rPr>
        <w:rFonts w:ascii="Tahoma" w:hAnsi="Tahoma" w:cs="Tahoma"/>
        <w:i/>
        <w:noProof/>
        <w:sz w:val="18"/>
        <w:szCs w:val="18"/>
      </w:rPr>
      <w:t>1</w:t>
    </w:r>
    <w:r w:rsidR="00930ACD" w:rsidRPr="00FD5A0C">
      <w:rPr>
        <w:rFonts w:ascii="Tahoma" w:hAnsi="Tahoma" w:cs="Tahoma"/>
        <w:i/>
        <w:sz w:val="18"/>
        <w:szCs w:val="18"/>
      </w:rPr>
      <w:fldChar w:fldCharType="end"/>
    </w:r>
    <w:r w:rsidRPr="00FD5A0C">
      <w:rPr>
        <w:rFonts w:ascii="Tahoma" w:hAnsi="Tahoma" w:cs="Tahoma"/>
        <w:i/>
        <w:sz w:val="18"/>
        <w:szCs w:val="18"/>
      </w:rPr>
      <w:t xml:space="preserve"> de </w:t>
    </w:r>
    <w:r w:rsidR="00930ACD" w:rsidRPr="00FD5A0C">
      <w:rPr>
        <w:rFonts w:ascii="Tahoma" w:hAnsi="Tahoma" w:cs="Tahoma"/>
        <w:i/>
        <w:sz w:val="18"/>
        <w:szCs w:val="18"/>
      </w:rPr>
      <w:fldChar w:fldCharType="begin"/>
    </w:r>
    <w:r w:rsidRPr="00FD5A0C">
      <w:rPr>
        <w:rFonts w:ascii="Tahoma" w:hAnsi="Tahoma" w:cs="Tahoma"/>
        <w:i/>
        <w:sz w:val="18"/>
        <w:szCs w:val="18"/>
      </w:rPr>
      <w:instrText>NUMPAGES</w:instrText>
    </w:r>
    <w:r w:rsidR="00930ACD" w:rsidRPr="00FD5A0C">
      <w:rPr>
        <w:rFonts w:ascii="Tahoma" w:hAnsi="Tahoma" w:cs="Tahoma"/>
        <w:i/>
        <w:sz w:val="18"/>
        <w:szCs w:val="18"/>
      </w:rPr>
      <w:fldChar w:fldCharType="separate"/>
    </w:r>
    <w:r w:rsidR="00927180">
      <w:rPr>
        <w:rFonts w:ascii="Tahoma" w:hAnsi="Tahoma" w:cs="Tahoma"/>
        <w:i/>
        <w:noProof/>
        <w:sz w:val="18"/>
        <w:szCs w:val="18"/>
      </w:rPr>
      <w:t>7</w:t>
    </w:r>
    <w:r w:rsidR="00930ACD" w:rsidRPr="00FD5A0C">
      <w:rPr>
        <w:rFonts w:ascii="Tahoma" w:hAnsi="Tahoma" w:cs="Tahoma"/>
        <w:i/>
        <w:sz w:val="18"/>
        <w:szCs w:val="18"/>
      </w:rPr>
      <w:fldChar w:fldCharType="end"/>
    </w:r>
  </w:p>
  <w:p w:rsidR="003A110E" w:rsidRDefault="0061310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0D" w:rsidRDefault="0061310D" w:rsidP="007C39AF">
      <w:pPr>
        <w:spacing w:after="0" w:line="240" w:lineRule="auto"/>
      </w:pPr>
      <w:r>
        <w:separator/>
      </w:r>
    </w:p>
  </w:footnote>
  <w:footnote w:type="continuationSeparator" w:id="1">
    <w:p w:rsidR="0061310D" w:rsidRDefault="0061310D" w:rsidP="007C39AF">
      <w:pPr>
        <w:spacing w:after="0" w:line="240" w:lineRule="auto"/>
      </w:pPr>
      <w:r>
        <w:continuationSeparator/>
      </w:r>
    </w:p>
  </w:footnote>
  <w:footnote w:id="2">
    <w:p w:rsidR="007C39AF" w:rsidRPr="009F1F66" w:rsidRDefault="007C39AF" w:rsidP="007C39AF">
      <w:pPr>
        <w:pStyle w:val="Textonotapie"/>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Artículo 294.- Causales de aplicación de sanción a los proveedores, participantes postores y contratistas.-</w:t>
      </w:r>
      <w:r w:rsidRPr="009F1F66">
        <w:rPr>
          <w:sz w:val="18"/>
          <w:szCs w:val="18"/>
        </w:rPr>
        <w:t xml:space="preserve"> El Tribunal impondrá sanción administrativa de suspensión o inhabilitación temporal o definitiva a los proveedores, participantes postores y/o contratistas que:</w:t>
      </w:r>
    </w:p>
    <w:p w:rsidR="007C39AF" w:rsidRPr="009F1F66" w:rsidRDefault="007C39AF" w:rsidP="007C39AF">
      <w:pPr>
        <w:pStyle w:val="Textonotapie"/>
        <w:rPr>
          <w:sz w:val="18"/>
          <w:szCs w:val="18"/>
        </w:rPr>
      </w:pPr>
      <w:r w:rsidRPr="009F1F66">
        <w:rPr>
          <w:sz w:val="18"/>
          <w:szCs w:val="18"/>
        </w:rPr>
        <w:t xml:space="preserve">(…) </w:t>
      </w:r>
    </w:p>
    <w:p w:rsidR="007C39AF" w:rsidRPr="009F1F66" w:rsidRDefault="007C39AF" w:rsidP="007C39AF">
      <w:pPr>
        <w:pStyle w:val="Textonotapie"/>
        <w:rPr>
          <w:sz w:val="18"/>
          <w:szCs w:val="18"/>
        </w:rPr>
      </w:pPr>
      <w:r w:rsidRPr="009F1F66">
        <w:rPr>
          <w:sz w:val="18"/>
          <w:szCs w:val="18"/>
        </w:rPr>
        <w:t>10) Presenten documentos falsos o con información inexacta en los procedimientos seguidos ante el Registro Nacional de proveedores;</w:t>
      </w:r>
    </w:p>
    <w:p w:rsidR="007C39AF" w:rsidRPr="009F1F66" w:rsidRDefault="007C39AF" w:rsidP="007C39AF">
      <w:pPr>
        <w:pStyle w:val="Textonotapie"/>
        <w:rPr>
          <w:sz w:val="18"/>
          <w:szCs w:val="18"/>
        </w:rPr>
      </w:pPr>
      <w:r w:rsidRPr="009F1F66">
        <w:rPr>
          <w:sz w:val="18"/>
          <w:szCs w:val="18"/>
        </w:rPr>
        <w:t>(…)”.</w:t>
      </w:r>
    </w:p>
    <w:p w:rsidR="007C39AF" w:rsidRDefault="007C39AF" w:rsidP="007C39AF">
      <w:pPr>
        <w:pStyle w:val="Textonotapie"/>
      </w:pPr>
    </w:p>
  </w:footnote>
  <w:footnote w:id="3">
    <w:p w:rsidR="007C39AF" w:rsidRPr="009F1F66" w:rsidRDefault="007C39AF" w:rsidP="007C39AF">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 xml:space="preserve">5. </w:t>
      </w:r>
      <w:r w:rsidRPr="009F1F66">
        <w:rPr>
          <w:sz w:val="18"/>
          <w:szCs w:val="18"/>
        </w:rPr>
        <w:t>Irretroactividad.- Son aplicables las disposiciones sancionadoras vigentes en el momento de incurrir el administrado en la conducta a sancionar, salvo que las posteriores le sean más favorables.</w:t>
      </w:r>
    </w:p>
    <w:p w:rsidR="007C39AF" w:rsidRDefault="007C39AF" w:rsidP="007C39AF">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7C39AF" w:rsidRDefault="007C39AF" w:rsidP="007C39AF">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5">
    <w:p w:rsidR="007C39AF" w:rsidRDefault="007C39AF" w:rsidP="007C39AF">
      <w:pPr>
        <w:pStyle w:val="Textonotapie"/>
      </w:pPr>
      <w:r>
        <w:rPr>
          <w:rStyle w:val="Refdenotaalpie"/>
        </w:rPr>
        <w:footnoteRef/>
      </w:r>
      <w:r>
        <w:t xml:space="preserve"> </w:t>
      </w:r>
      <w:r w:rsidRPr="00760C85">
        <w:rPr>
          <w:sz w:val="16"/>
          <w:szCs w:val="16"/>
        </w:rPr>
        <w:t>Documento obrante a fojas 01</w:t>
      </w:r>
      <w:r>
        <w:rPr>
          <w:sz w:val="16"/>
          <w:szCs w:val="16"/>
        </w:rPr>
        <w:t>9</w:t>
      </w:r>
      <w:r w:rsidRPr="00760C85">
        <w:rPr>
          <w:sz w:val="16"/>
          <w:szCs w:val="16"/>
        </w:rPr>
        <w:t xml:space="preserve"> de autos</w:t>
      </w:r>
    </w:p>
  </w:footnote>
  <w:footnote w:id="6">
    <w:p w:rsidR="007C39AF" w:rsidRDefault="007C39AF" w:rsidP="007C39AF">
      <w:pPr>
        <w:pStyle w:val="Textonotapie"/>
      </w:pPr>
      <w:r>
        <w:rPr>
          <w:rStyle w:val="Refdenotaalpie"/>
        </w:rPr>
        <w:footnoteRef/>
      </w:r>
      <w:r>
        <w:t xml:space="preserve"> </w:t>
      </w:r>
      <w:r w:rsidRPr="00760C85">
        <w:rPr>
          <w:sz w:val="16"/>
          <w:szCs w:val="16"/>
        </w:rPr>
        <w:t>Documento obrante a fojas 012 de autos.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180" w:rsidRDefault="00927180" w:rsidP="00927180">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27180" w:rsidRDefault="00927180" w:rsidP="00927180">
    <w:pPr>
      <w:pStyle w:val="Encabezado"/>
      <w:rPr>
        <w:noProof/>
      </w:rPr>
    </w:pPr>
  </w:p>
  <w:p w:rsidR="00927180" w:rsidRDefault="00927180" w:rsidP="00927180">
    <w:pPr>
      <w:pStyle w:val="Encabezado"/>
      <w:jc w:val="center"/>
      <w:rPr>
        <w:rFonts w:ascii="Monotype Corsiva" w:hAnsi="Monotype Corsiva"/>
        <w:b/>
        <w:sz w:val="44"/>
        <w:szCs w:val="44"/>
      </w:rPr>
    </w:pPr>
  </w:p>
  <w:p w:rsidR="00927180" w:rsidRDefault="00927180" w:rsidP="00927180">
    <w:pPr>
      <w:pStyle w:val="Encabezado"/>
      <w:jc w:val="center"/>
    </w:pPr>
    <w:r>
      <w:rPr>
        <w:rFonts w:ascii="Monotype Corsiva" w:hAnsi="Monotype Corsiva"/>
        <w:b/>
        <w:sz w:val="44"/>
        <w:szCs w:val="44"/>
      </w:rPr>
      <w:t xml:space="preserve">Resolución Nº   </w:t>
    </w:r>
    <w:r>
      <w:rPr>
        <w:rFonts w:ascii="Tahoma" w:hAnsi="Tahoma" w:cs="Tahoma"/>
        <w:b/>
        <w:sz w:val="44"/>
        <w:szCs w:val="44"/>
      </w:rPr>
      <w:t>985-2011-TC-S1</w:t>
    </w:r>
  </w:p>
  <w:p w:rsidR="00927180" w:rsidRDefault="0092718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786"/>
        </w:tabs>
        <w:ind w:left="786"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7224BD2"/>
    <w:multiLevelType w:val="hybridMultilevel"/>
    <w:tmpl w:val="E8C089DC"/>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2">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3">
    <w:nsid w:val="0D89661A"/>
    <w:multiLevelType w:val="hybridMultilevel"/>
    <w:tmpl w:val="28442342"/>
    <w:lvl w:ilvl="0" w:tplc="05107F02">
      <w:start w:val="1"/>
      <w:numFmt w:val="decimal"/>
      <w:lvlText w:val="%1."/>
      <w:lvlJc w:val="left"/>
      <w:pPr>
        <w:tabs>
          <w:tab w:val="num" w:pos="454"/>
        </w:tabs>
        <w:ind w:left="454" w:hanging="454"/>
      </w:pPr>
      <w:rPr>
        <w:rFonts w:ascii="Tahoma" w:hAnsi="Tahoma" w:hint="default"/>
        <w:b/>
        <w:bCs/>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9922362"/>
    <w:multiLevelType w:val="hybridMultilevel"/>
    <w:tmpl w:val="40DC9F46"/>
    <w:lvl w:ilvl="0" w:tplc="0C0A0013">
      <w:start w:val="1"/>
      <w:numFmt w:val="upp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6">
    <w:nsid w:val="2A604CF2"/>
    <w:multiLevelType w:val="hybridMultilevel"/>
    <w:tmpl w:val="46802A76"/>
    <w:lvl w:ilvl="0" w:tplc="52E8E292">
      <w:start w:val="1"/>
      <w:numFmt w:val="decimal"/>
      <w:lvlText w:val="%1)"/>
      <w:lvlJc w:val="left"/>
      <w:pPr>
        <w:tabs>
          <w:tab w:val="num" w:pos="644"/>
        </w:tabs>
        <w:ind w:left="644" w:hanging="360"/>
      </w:pPr>
      <w:rPr>
        <w:rFonts w:hint="default"/>
        <w:b w:val="0"/>
        <w:bCs w:val="0"/>
        <w:i/>
        <w:iCs/>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28C59F9"/>
    <w:multiLevelType w:val="hybridMultilevel"/>
    <w:tmpl w:val="C6286CCA"/>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8">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4ADA5249"/>
    <w:multiLevelType w:val="multilevel"/>
    <w:tmpl w:val="AE546D80"/>
    <w:lvl w:ilvl="0">
      <w:start w:val="1"/>
      <w:numFmt w:val="decimal"/>
      <w:lvlText w:val="%1."/>
      <w:lvlJc w:val="left"/>
      <w:pPr>
        <w:tabs>
          <w:tab w:val="num" w:pos="360"/>
        </w:tabs>
        <w:ind w:left="360" w:hanging="360"/>
      </w:pPr>
      <w:rPr>
        <w:b/>
        <w:bCs/>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3"/>
  </w:num>
  <w:num w:numId="2">
    <w:abstractNumId w:val="10"/>
  </w:num>
  <w:num w:numId="3">
    <w:abstractNumId w:val="5"/>
  </w:num>
  <w:num w:numId="4">
    <w:abstractNumId w:val="1"/>
  </w:num>
  <w:num w:numId="5">
    <w:abstractNumId w:val="6"/>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C39AF"/>
    <w:rsid w:val="0061310D"/>
    <w:rsid w:val="0066645E"/>
    <w:rsid w:val="007C015C"/>
    <w:rsid w:val="007C39AF"/>
    <w:rsid w:val="00927180"/>
    <w:rsid w:val="00930ACD"/>
    <w:rsid w:val="0096071E"/>
    <w:rsid w:val="00AC48F9"/>
    <w:rsid w:val="00F64D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9AF"/>
    <w:rPr>
      <w:rFonts w:ascii="Calibri" w:eastAsia="Calibri" w:hAnsi="Calibri" w:cs="Times New Roman"/>
    </w:rPr>
  </w:style>
  <w:style w:type="paragraph" w:styleId="Ttulo2">
    <w:name w:val="heading 2"/>
    <w:basedOn w:val="Normal"/>
    <w:next w:val="Normal"/>
    <w:link w:val="Ttulo2Car"/>
    <w:qFormat/>
    <w:rsid w:val="007C39AF"/>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7C39AF"/>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C39AF"/>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7C39AF"/>
    <w:rPr>
      <w:rFonts w:ascii="Arial" w:eastAsia="Calibri" w:hAnsi="Arial" w:cs="Arial"/>
      <w:b/>
      <w:bCs/>
      <w:sz w:val="26"/>
      <w:szCs w:val="26"/>
    </w:rPr>
  </w:style>
  <w:style w:type="paragraph" w:styleId="Textoindependiente3">
    <w:name w:val="Body Text 3"/>
    <w:basedOn w:val="Normal"/>
    <w:link w:val="Textoindependiente3Car"/>
    <w:semiHidden/>
    <w:unhideWhenUsed/>
    <w:rsid w:val="007C39AF"/>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7C39AF"/>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7C39AF"/>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7C39AF"/>
    <w:pPr>
      <w:tabs>
        <w:tab w:val="center" w:pos="4252"/>
        <w:tab w:val="right" w:pos="8504"/>
      </w:tabs>
    </w:pPr>
  </w:style>
  <w:style w:type="character" w:customStyle="1" w:styleId="PiedepginaCar">
    <w:name w:val="Pie de página Car"/>
    <w:basedOn w:val="Fuentedeprrafopredeter"/>
    <w:link w:val="Piedepgina"/>
    <w:uiPriority w:val="99"/>
    <w:rsid w:val="007C39AF"/>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7C39AF"/>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7C39AF"/>
    <w:rPr>
      <w:rFonts w:ascii="Tahoma" w:eastAsia="Calibri" w:hAnsi="Tahoma" w:cs="Tahoma"/>
      <w:sz w:val="20"/>
      <w:szCs w:val="20"/>
    </w:rPr>
  </w:style>
  <w:style w:type="character" w:styleId="Refdenotaalpie">
    <w:name w:val="footnote reference"/>
    <w:basedOn w:val="Fuentedeprrafopredeter"/>
    <w:uiPriority w:val="99"/>
    <w:semiHidden/>
    <w:rsid w:val="007C39AF"/>
    <w:rPr>
      <w:vertAlign w:val="superscript"/>
    </w:rPr>
  </w:style>
  <w:style w:type="paragraph" w:styleId="Textoindependiente">
    <w:name w:val="Body Text"/>
    <w:basedOn w:val="Normal"/>
    <w:link w:val="TextoindependienteCar"/>
    <w:uiPriority w:val="99"/>
    <w:semiHidden/>
    <w:unhideWhenUsed/>
    <w:rsid w:val="007C39AF"/>
    <w:pPr>
      <w:spacing w:after="120"/>
    </w:pPr>
  </w:style>
  <w:style w:type="character" w:customStyle="1" w:styleId="TextoindependienteCar">
    <w:name w:val="Texto independiente Car"/>
    <w:basedOn w:val="Fuentedeprrafopredeter"/>
    <w:link w:val="Textoindependiente"/>
    <w:uiPriority w:val="99"/>
    <w:semiHidden/>
    <w:rsid w:val="007C39AF"/>
    <w:rPr>
      <w:rFonts w:ascii="Calibri" w:eastAsia="Calibri" w:hAnsi="Calibri" w:cs="Times New Roman"/>
    </w:rPr>
  </w:style>
  <w:style w:type="paragraph" w:styleId="NormalWeb">
    <w:name w:val="Normal (Web)"/>
    <w:basedOn w:val="Normal"/>
    <w:uiPriority w:val="99"/>
    <w:rsid w:val="007C39AF"/>
    <w:pPr>
      <w:spacing w:before="100" w:beforeAutospacing="1" w:after="100" w:afterAutospacing="1" w:line="240" w:lineRule="auto"/>
    </w:pPr>
    <w:rPr>
      <w:rFonts w:ascii="Times New Roman" w:hAnsi="Times New Roman"/>
      <w:sz w:val="24"/>
      <w:szCs w:val="24"/>
      <w:lang w:eastAsia="es-ES"/>
    </w:rPr>
  </w:style>
  <w:style w:type="character" w:styleId="Textoennegrita">
    <w:name w:val="Strong"/>
    <w:basedOn w:val="Fuentedeprrafopredeter"/>
    <w:uiPriority w:val="99"/>
    <w:qFormat/>
    <w:rsid w:val="007C39AF"/>
    <w:rPr>
      <w:b/>
      <w:bCs/>
    </w:rPr>
  </w:style>
  <w:style w:type="paragraph" w:customStyle="1" w:styleId="Prrafodelista1">
    <w:name w:val="Párrafo de lista1"/>
    <w:basedOn w:val="Normal"/>
    <w:uiPriority w:val="99"/>
    <w:rsid w:val="007C39AF"/>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927180"/>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92718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2684</Words>
  <Characters>14763</Characters>
  <Application>Microsoft Office Word</Application>
  <DocSecurity>0</DocSecurity>
  <Lines>123</Lines>
  <Paragraphs>34</Paragraphs>
  <ScaleCrop>false</ScaleCrop>
  <Company/>
  <LinksUpToDate>false</LinksUpToDate>
  <CharactersWithSpaces>17413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4</cp:revision>
  <cp:lastPrinted>2011-06-07T22:37:00Z</cp:lastPrinted>
  <dcterms:created xsi:type="dcterms:W3CDTF">2011-06-07T22:23:00Z</dcterms:created>
  <dcterms:modified xsi:type="dcterms:W3CDTF">2011-07-22T20:27:00Z</dcterms:modified>
</cp:coreProperties>
</file>